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F25D" w14:textId="77777777" w:rsidR="00415D20" w:rsidRDefault="00415D20">
      <w:pPr>
        <w:widowControl/>
        <w:jc w:val="center"/>
        <w:rPr>
          <w:b/>
          <w:bCs/>
        </w:rPr>
      </w:pPr>
    </w:p>
    <w:p w14:paraId="083780C0" w14:textId="77777777" w:rsidR="00415D20" w:rsidRDefault="001B3DDF">
      <w:pPr>
        <w:pStyle w:val="RedTitre"/>
        <w:framePr w:wrap="auto"/>
        <w:widowControl/>
      </w:pPr>
      <w:r>
        <w:t xml:space="preserve"> MARCHES PUBLICS DE TRAVAUX </w:t>
      </w:r>
    </w:p>
    <w:p w14:paraId="54530A9C" w14:textId="77777777" w:rsidR="00415D20" w:rsidRDefault="00415D20">
      <w:pPr>
        <w:widowControl/>
        <w:jc w:val="center"/>
        <w:rPr>
          <w:b/>
          <w:bCs/>
        </w:rPr>
      </w:pPr>
    </w:p>
    <w:p w14:paraId="10CAD9BE" w14:textId="77777777" w:rsidR="00415D20" w:rsidRDefault="00415D20">
      <w:pPr>
        <w:widowControl/>
        <w:jc w:val="center"/>
        <w:rPr>
          <w:b/>
          <w:bCs/>
        </w:rPr>
      </w:pPr>
    </w:p>
    <w:p w14:paraId="5110040C" w14:textId="77777777" w:rsidR="00415D20" w:rsidRDefault="00415D20">
      <w:pPr>
        <w:widowControl/>
        <w:jc w:val="center"/>
        <w:rPr>
          <w:b/>
          <w:bCs/>
        </w:rPr>
      </w:pPr>
    </w:p>
    <w:p w14:paraId="6E7818C6" w14:textId="77777777" w:rsidR="00415D20" w:rsidRDefault="00415D20">
      <w:pPr>
        <w:widowControl/>
        <w:jc w:val="center"/>
        <w:rPr>
          <w:b/>
          <w:bCs/>
        </w:rPr>
      </w:pPr>
    </w:p>
    <w:p w14:paraId="105B4AA9" w14:textId="77777777" w:rsidR="00415D20" w:rsidRDefault="001B3DDF">
      <w:pPr>
        <w:pStyle w:val="RedNomDoc"/>
        <w:widowControl/>
      </w:pPr>
      <w:r>
        <w:t xml:space="preserve">REGLEMENT DE LA CONSULTATION </w:t>
      </w:r>
    </w:p>
    <w:p w14:paraId="194BEA12" w14:textId="77777777" w:rsidR="00415D20" w:rsidRDefault="00415D20">
      <w:pPr>
        <w:widowControl/>
        <w:jc w:val="center"/>
        <w:rPr>
          <w:b/>
          <w:bCs/>
        </w:rPr>
      </w:pPr>
    </w:p>
    <w:p w14:paraId="105F829E" w14:textId="77777777" w:rsidR="00415D20" w:rsidRDefault="007D62C9">
      <w:pPr>
        <w:widowControl/>
        <w:jc w:val="center"/>
        <w:rPr>
          <w:b/>
          <w:bCs/>
        </w:rPr>
      </w:pPr>
      <w:r>
        <w:rPr>
          <w:b/>
          <w:bCs/>
        </w:rPr>
        <w:t>(Commun à tous les lots</w:t>
      </w:r>
      <w:r w:rsidR="00E71D90">
        <w:rPr>
          <w:b/>
          <w:bCs/>
        </w:rPr>
        <w:t>)</w:t>
      </w:r>
    </w:p>
    <w:p w14:paraId="3B22A537" w14:textId="77777777" w:rsidR="00415D20" w:rsidRDefault="00415D20">
      <w:pPr>
        <w:widowControl/>
        <w:jc w:val="center"/>
        <w:rPr>
          <w:b/>
          <w:bCs/>
        </w:rPr>
      </w:pPr>
    </w:p>
    <w:p w14:paraId="3B290333" w14:textId="77777777" w:rsidR="00415D20" w:rsidRDefault="00415D20">
      <w:pPr>
        <w:widowControl/>
        <w:jc w:val="center"/>
        <w:rPr>
          <w:b/>
          <w:bCs/>
        </w:rPr>
      </w:pPr>
    </w:p>
    <w:p w14:paraId="2F6C9BA9" w14:textId="77777777" w:rsidR="00415D20" w:rsidRDefault="001B3DDF">
      <w:pPr>
        <w:pStyle w:val="RedTitre"/>
        <w:framePr w:wrap="auto"/>
        <w:widowControl/>
      </w:pPr>
      <w:r>
        <w:t xml:space="preserve"> </w:t>
      </w:r>
    </w:p>
    <w:p w14:paraId="749C7DF4" w14:textId="77777777" w:rsidR="00415D20" w:rsidRDefault="00415D20">
      <w:pPr>
        <w:widowControl/>
        <w:jc w:val="center"/>
        <w:rPr>
          <w:b/>
          <w:bCs/>
        </w:rPr>
      </w:pPr>
    </w:p>
    <w:p w14:paraId="3298F87F" w14:textId="77777777" w:rsidR="00415D20" w:rsidRDefault="00415D20">
      <w:pPr>
        <w:widowControl/>
        <w:jc w:val="center"/>
        <w:rPr>
          <w:b/>
          <w:bCs/>
        </w:rPr>
      </w:pPr>
    </w:p>
    <w:p w14:paraId="3181E78B" w14:textId="77777777" w:rsidR="00415D20" w:rsidRDefault="00415D20">
      <w:pPr>
        <w:widowControl/>
        <w:jc w:val="center"/>
        <w:rPr>
          <w:b/>
          <w:bCs/>
        </w:rPr>
      </w:pPr>
    </w:p>
    <w:p w14:paraId="5F9C9D4E" w14:textId="77777777" w:rsidR="00415D20" w:rsidRDefault="00415D20">
      <w:pPr>
        <w:widowControl/>
        <w:jc w:val="center"/>
        <w:rPr>
          <w:b/>
          <w:bCs/>
        </w:rPr>
      </w:pPr>
    </w:p>
    <w:p w14:paraId="164BA310" w14:textId="77777777" w:rsidR="00415D20" w:rsidRDefault="001B3DDF">
      <w:pPr>
        <w:pStyle w:val="RedTitre1"/>
        <w:keepNext/>
        <w:framePr w:wrap="auto"/>
        <w:widowControl/>
        <w:shd w:val="pct5" w:color="auto" w:fill="auto"/>
      </w:pPr>
      <w:r>
        <w:t>Le pouvoir ad</w:t>
      </w:r>
      <w:r w:rsidR="007D62C9">
        <w:t>jud</w:t>
      </w:r>
      <w:r w:rsidR="007B1951">
        <w:t>icateur : Commune d</w:t>
      </w:r>
      <w:r w:rsidR="00C61DB3">
        <w:t>e RAIZEUX</w:t>
      </w:r>
      <w:r w:rsidR="007B1951">
        <w:t xml:space="preserve">  (78125)</w:t>
      </w:r>
    </w:p>
    <w:p w14:paraId="6EBB5B9A" w14:textId="77777777" w:rsidR="00415D20" w:rsidRDefault="00415D20">
      <w:pPr>
        <w:pStyle w:val="RedTitre1"/>
        <w:keepNext/>
        <w:framePr w:wrap="auto"/>
        <w:widowControl/>
        <w:shd w:val="pct5" w:color="auto" w:fill="auto"/>
      </w:pPr>
    </w:p>
    <w:p w14:paraId="24B60507" w14:textId="77777777" w:rsidR="00415D20" w:rsidRDefault="00532779">
      <w:pPr>
        <w:pStyle w:val="RedTitre1"/>
        <w:keepNext/>
        <w:framePr w:wrap="auto"/>
        <w:widowControl/>
        <w:shd w:val="pct5" w:color="auto" w:fill="auto"/>
      </w:pPr>
      <w:r>
        <w:t>Commune d</w:t>
      </w:r>
      <w:r w:rsidR="00E47AC1">
        <w:t>e RAIZEUX</w:t>
      </w:r>
    </w:p>
    <w:p w14:paraId="75EBAE8A" w14:textId="77777777" w:rsidR="00532779" w:rsidRDefault="00532779">
      <w:pPr>
        <w:pStyle w:val="RedTitre1"/>
        <w:keepNext/>
        <w:framePr w:wrap="auto"/>
        <w:widowControl/>
        <w:shd w:val="pct5" w:color="auto" w:fill="auto"/>
      </w:pPr>
      <w:r>
        <w:t>Mairie d</w:t>
      </w:r>
      <w:r w:rsidR="00E47AC1">
        <w:t>e RAIZEUX</w:t>
      </w:r>
    </w:p>
    <w:p w14:paraId="6D93CB88" w14:textId="77777777" w:rsidR="00415D20" w:rsidRDefault="00F82EEF">
      <w:pPr>
        <w:pStyle w:val="RedTitre1"/>
        <w:keepNext/>
        <w:framePr w:wrap="auto"/>
        <w:widowControl/>
        <w:shd w:val="pct5" w:color="auto" w:fill="auto"/>
      </w:pPr>
      <w:r>
        <w:t xml:space="preserve">2 </w:t>
      </w:r>
      <w:r w:rsidR="00532779">
        <w:t>R</w:t>
      </w:r>
      <w:r w:rsidR="00E47AC1">
        <w:t>oute des ponts</w:t>
      </w:r>
    </w:p>
    <w:p w14:paraId="59F413B8" w14:textId="77777777" w:rsidR="00415D20" w:rsidRDefault="00532779">
      <w:pPr>
        <w:pStyle w:val="RedTitre1"/>
        <w:keepNext/>
        <w:framePr w:wrap="auto"/>
        <w:widowControl/>
        <w:shd w:val="pct5" w:color="auto" w:fill="auto"/>
      </w:pPr>
      <w:r>
        <w:t xml:space="preserve">78125 </w:t>
      </w:r>
      <w:r w:rsidR="00E47AC1">
        <w:t>RAIZEUX</w:t>
      </w:r>
    </w:p>
    <w:p w14:paraId="03A568AB" w14:textId="77777777" w:rsidR="00415D20" w:rsidRDefault="00415D20">
      <w:pPr>
        <w:pStyle w:val="RedTitre1"/>
        <w:keepNext/>
        <w:framePr w:wrap="auto"/>
        <w:widowControl/>
        <w:shd w:val="pct5" w:color="auto" w:fill="auto"/>
      </w:pPr>
    </w:p>
    <w:p w14:paraId="7BAD0E08" w14:textId="77777777" w:rsidR="00415D20" w:rsidRDefault="00415D20">
      <w:pPr>
        <w:pStyle w:val="RedTitre1"/>
        <w:keepNext/>
        <w:framePr w:wrap="auto"/>
        <w:widowControl/>
        <w:shd w:val="pct5" w:color="auto" w:fill="auto"/>
      </w:pPr>
    </w:p>
    <w:p w14:paraId="390045AA" w14:textId="77777777" w:rsidR="00415D20" w:rsidRDefault="00415D20">
      <w:pPr>
        <w:pStyle w:val="RedTitre1"/>
        <w:keepNext/>
        <w:framePr w:wrap="auto"/>
        <w:widowControl/>
        <w:shd w:val="pct5" w:color="auto" w:fill="auto"/>
      </w:pPr>
    </w:p>
    <w:p w14:paraId="5A7D4EDE" w14:textId="77777777" w:rsidR="00415D20" w:rsidRDefault="00415D20">
      <w:pPr>
        <w:pStyle w:val="RedTitre1"/>
        <w:keepNext/>
        <w:framePr w:wrap="auto"/>
        <w:widowControl/>
        <w:shd w:val="pct5" w:color="auto" w:fill="auto"/>
      </w:pPr>
    </w:p>
    <w:p w14:paraId="144778C3" w14:textId="77777777" w:rsidR="00415D20" w:rsidRDefault="001B3DDF">
      <w:pPr>
        <w:pStyle w:val="RedTitre1"/>
        <w:keepNext/>
        <w:framePr w:wrap="auto"/>
        <w:widowControl/>
        <w:shd w:val="pct5" w:color="auto" w:fill="auto"/>
      </w:pPr>
      <w:r>
        <w:t>_______________________________________________________________________</w:t>
      </w:r>
    </w:p>
    <w:p w14:paraId="504CC3B3" w14:textId="77777777" w:rsidR="003B05BB" w:rsidRDefault="003B05BB" w:rsidP="003B05BB">
      <w:pPr>
        <w:pStyle w:val="RedTitre1"/>
        <w:keepNext/>
        <w:framePr w:wrap="auto"/>
        <w:widowControl/>
        <w:shd w:val="pct5" w:color="auto" w:fill="auto"/>
      </w:pPr>
      <w:r>
        <w:t>Eglise Notre-Dame de la Bonne Nouvelle</w:t>
      </w:r>
    </w:p>
    <w:p w14:paraId="2BFC7C73" w14:textId="77777777" w:rsidR="003B05BB" w:rsidRPr="00E43818" w:rsidRDefault="003B05BB" w:rsidP="003B05BB">
      <w:pPr>
        <w:pStyle w:val="RedTitre1"/>
        <w:keepNext/>
        <w:framePr w:wrap="auto"/>
        <w:widowControl/>
        <w:shd w:val="pct5" w:color="auto" w:fill="auto"/>
        <w:rPr>
          <w:b w:val="0"/>
          <w:bCs w:val="0"/>
        </w:rPr>
      </w:pPr>
      <w:r w:rsidRPr="00E43818">
        <w:rPr>
          <w:b w:val="0"/>
          <w:bCs w:val="0"/>
        </w:rPr>
        <w:t>Ravalement des fonds internes</w:t>
      </w:r>
    </w:p>
    <w:p w14:paraId="103F1A20" w14:textId="77777777" w:rsidR="003B05BB" w:rsidRDefault="003B05BB" w:rsidP="003B05BB">
      <w:pPr>
        <w:pStyle w:val="RedTitre1"/>
        <w:keepNext/>
        <w:framePr w:wrap="auto"/>
        <w:widowControl/>
        <w:shd w:val="pct5" w:color="auto" w:fill="auto"/>
      </w:pPr>
      <w:r>
        <w:t>RAIZEUX (78125)</w:t>
      </w:r>
    </w:p>
    <w:p w14:paraId="2999059A" w14:textId="77777777" w:rsidR="00415D20" w:rsidRDefault="001B3DDF">
      <w:pPr>
        <w:pStyle w:val="RedTitre1"/>
        <w:keepNext/>
        <w:framePr w:wrap="auto"/>
        <w:widowControl/>
        <w:shd w:val="pct5" w:color="auto" w:fill="auto"/>
      </w:pPr>
      <w:r>
        <w:t>_______________________________________________</w:t>
      </w:r>
    </w:p>
    <w:p w14:paraId="6E78A7DB" w14:textId="77777777" w:rsidR="00415D20" w:rsidRDefault="00415D20">
      <w:pPr>
        <w:pStyle w:val="RedTitre1"/>
        <w:keepNext/>
        <w:framePr w:wrap="auto"/>
        <w:widowControl/>
        <w:shd w:val="pct5" w:color="auto" w:fill="auto"/>
      </w:pPr>
    </w:p>
    <w:p w14:paraId="25CC5E44" w14:textId="77777777" w:rsidR="00415D20" w:rsidRDefault="00415D20">
      <w:pPr>
        <w:pStyle w:val="RedTitre1"/>
        <w:keepNext/>
        <w:framePr w:wrap="auto"/>
        <w:widowControl/>
        <w:shd w:val="pct5" w:color="auto" w:fill="auto"/>
      </w:pPr>
    </w:p>
    <w:p w14:paraId="2C492B26" w14:textId="77777777" w:rsidR="00415D20" w:rsidRDefault="00CE2B8C">
      <w:pPr>
        <w:pStyle w:val="RedTitre1"/>
        <w:keepNext/>
        <w:framePr w:wrap="auto"/>
        <w:widowControl/>
        <w:shd w:val="pct5" w:color="auto" w:fill="auto"/>
        <w:rPr>
          <w:rFonts w:eastAsia="Times New Roman"/>
        </w:rPr>
      </w:pPr>
      <w:r w:rsidRPr="00CE2B8C">
        <w:rPr>
          <w:rFonts w:eastAsia="Times New Roman"/>
        </w:rPr>
        <w:t>Procédure ad</w:t>
      </w:r>
      <w:r>
        <w:rPr>
          <w:rFonts w:eastAsia="Times New Roman"/>
        </w:rPr>
        <w:t>aptée en application de l'</w:t>
      </w:r>
      <w:r w:rsidRPr="00CE2B8C">
        <w:rPr>
          <w:rFonts w:eastAsia="Times New Roman"/>
        </w:rPr>
        <w:t>article 27 du décret n°2016-360 du 25 mars 2016 relatif aux Marchés Publics</w:t>
      </w:r>
    </w:p>
    <w:p w14:paraId="0E091F7C" w14:textId="77777777" w:rsidR="00CE2B8C" w:rsidRDefault="00CE2B8C">
      <w:pPr>
        <w:pStyle w:val="RedTitre1"/>
        <w:keepNext/>
        <w:framePr w:wrap="auto"/>
        <w:widowControl/>
        <w:shd w:val="pct5" w:color="auto" w:fill="auto"/>
      </w:pPr>
    </w:p>
    <w:p w14:paraId="0F0980E3" w14:textId="3299D351" w:rsidR="00415D20" w:rsidRDefault="001B3DDF">
      <w:pPr>
        <w:pStyle w:val="RedTitre1"/>
        <w:keepNext/>
        <w:framePr w:wrap="auto"/>
        <w:widowControl/>
        <w:shd w:val="pct5" w:color="auto" w:fill="auto"/>
      </w:pPr>
      <w:r>
        <w:t>Date et heure limites d</w:t>
      </w:r>
      <w:r w:rsidR="007D62C9">
        <w:t xml:space="preserve">e remise des offres </w:t>
      </w:r>
      <w:r w:rsidR="005A3A40">
        <w:rPr>
          <w:color w:val="000000" w:themeColor="text1"/>
        </w:rPr>
        <w:t xml:space="preserve">: </w:t>
      </w:r>
      <w:r w:rsidR="00FC7345" w:rsidRPr="00FC7345">
        <w:rPr>
          <w:color w:val="000000" w:themeColor="text1"/>
        </w:rPr>
        <w:t xml:space="preserve">30 mars 2020 </w:t>
      </w:r>
      <w:r w:rsidR="003B05BB" w:rsidRPr="00FC7345">
        <w:rPr>
          <w:color w:val="000000" w:themeColor="text1"/>
        </w:rPr>
        <w:t xml:space="preserve">à </w:t>
      </w:r>
      <w:r w:rsidR="00FC7345">
        <w:rPr>
          <w:color w:val="000000" w:themeColor="text1"/>
        </w:rPr>
        <w:t>17 heures</w:t>
      </w:r>
    </w:p>
    <w:p w14:paraId="7AA237B6" w14:textId="77777777" w:rsidR="00415D20" w:rsidRDefault="001B3DDF">
      <w:pPr>
        <w:pStyle w:val="RedNomDoc"/>
        <w:keepNext/>
        <w:widowControl/>
      </w:pPr>
      <w:r>
        <w:br w:type="page"/>
      </w:r>
      <w:r>
        <w:lastRenderedPageBreak/>
        <w:t xml:space="preserve">REGLEMENT DE LA CONSULTATION </w:t>
      </w:r>
    </w:p>
    <w:p w14:paraId="3C404A9C" w14:textId="77777777" w:rsidR="00415D20" w:rsidRDefault="00415D20">
      <w:pPr>
        <w:keepNext/>
        <w:widowControl/>
      </w:pPr>
    </w:p>
    <w:p w14:paraId="097B2881" w14:textId="77777777" w:rsidR="00415D20" w:rsidRDefault="00415D20">
      <w:pPr>
        <w:keepNext/>
        <w:widowControl/>
      </w:pPr>
    </w:p>
    <w:p w14:paraId="54CD8A92" w14:textId="77777777" w:rsidR="00415D20" w:rsidRDefault="00415D20">
      <w:pPr>
        <w:keepNext/>
        <w:widowControl/>
      </w:pPr>
    </w:p>
    <w:p w14:paraId="6C49D53C" w14:textId="77777777" w:rsidR="00415D20" w:rsidRDefault="001B3DDF">
      <w:pPr>
        <w:keepNext/>
        <w:widowControl/>
        <w:jc w:val="center"/>
        <w:rPr>
          <w:b/>
          <w:bCs/>
          <w:sz w:val="28"/>
          <w:szCs w:val="28"/>
        </w:rPr>
      </w:pPr>
      <w:r>
        <w:rPr>
          <w:b/>
          <w:bCs/>
          <w:sz w:val="28"/>
          <w:szCs w:val="28"/>
        </w:rPr>
        <w:t>SOMMAIRE</w:t>
      </w:r>
    </w:p>
    <w:p w14:paraId="67864299" w14:textId="77777777" w:rsidR="00415D20" w:rsidRDefault="00415D20">
      <w:pPr>
        <w:keepNext/>
        <w:widowControl/>
        <w:jc w:val="center"/>
        <w:rPr>
          <w:b/>
          <w:bCs/>
          <w:sz w:val="28"/>
          <w:szCs w:val="28"/>
        </w:rPr>
      </w:pPr>
    </w:p>
    <w:p w14:paraId="24B5E5B0" w14:textId="77777777" w:rsidR="00415D20" w:rsidRDefault="00415D20">
      <w:pPr>
        <w:keepNext/>
        <w:widowControl/>
      </w:pPr>
    </w:p>
    <w:p w14:paraId="71395F4F" w14:textId="77777777" w:rsidR="00415D20" w:rsidRDefault="00415D20">
      <w:pPr>
        <w:keepNext/>
        <w:widowControl/>
      </w:pPr>
    </w:p>
    <w:p w14:paraId="410A59C0" w14:textId="77777777" w:rsidR="00415D20" w:rsidRDefault="001B3DDF">
      <w:pPr>
        <w:rPr>
          <w:sz w:val="24"/>
          <w:szCs w:val="24"/>
        </w:rPr>
      </w:pPr>
      <w:r>
        <w:rPr>
          <w:sz w:val="24"/>
          <w:szCs w:val="24"/>
        </w:rPr>
        <w:t>1. - Acheteur</w:t>
      </w:r>
    </w:p>
    <w:p w14:paraId="452204EC" w14:textId="77777777" w:rsidR="00415D20" w:rsidRDefault="001B3DDF">
      <w:pPr>
        <w:rPr>
          <w:sz w:val="24"/>
          <w:szCs w:val="24"/>
        </w:rPr>
      </w:pPr>
      <w:r>
        <w:rPr>
          <w:sz w:val="24"/>
          <w:szCs w:val="24"/>
        </w:rPr>
        <w:t>2. - Objet de la consultation</w:t>
      </w:r>
    </w:p>
    <w:p w14:paraId="4523BA56" w14:textId="77777777" w:rsidR="00415D20" w:rsidRDefault="001B3DDF">
      <w:pPr>
        <w:rPr>
          <w:sz w:val="24"/>
          <w:szCs w:val="24"/>
        </w:rPr>
      </w:pPr>
      <w:r>
        <w:rPr>
          <w:sz w:val="24"/>
          <w:szCs w:val="24"/>
        </w:rPr>
        <w:t xml:space="preserve">    2.1. - Objet du marché</w:t>
      </w:r>
    </w:p>
    <w:p w14:paraId="06B03E9A" w14:textId="77777777" w:rsidR="00415D20" w:rsidRDefault="001B3DDF">
      <w:pPr>
        <w:rPr>
          <w:sz w:val="24"/>
          <w:szCs w:val="24"/>
        </w:rPr>
      </w:pPr>
      <w:r>
        <w:rPr>
          <w:sz w:val="24"/>
          <w:szCs w:val="24"/>
        </w:rPr>
        <w:t xml:space="preserve">    2.2. - Procédure de passation</w:t>
      </w:r>
    </w:p>
    <w:p w14:paraId="325E46C1" w14:textId="77777777" w:rsidR="00415D20" w:rsidRDefault="001B3DDF">
      <w:pPr>
        <w:rPr>
          <w:sz w:val="24"/>
          <w:szCs w:val="24"/>
        </w:rPr>
      </w:pPr>
      <w:r>
        <w:rPr>
          <w:sz w:val="24"/>
          <w:szCs w:val="24"/>
        </w:rPr>
        <w:t xml:space="preserve">    2.3. - Forme du marché</w:t>
      </w:r>
    </w:p>
    <w:p w14:paraId="65CD256A" w14:textId="77777777" w:rsidR="00415D20" w:rsidRDefault="001B3DDF">
      <w:pPr>
        <w:rPr>
          <w:sz w:val="24"/>
          <w:szCs w:val="24"/>
        </w:rPr>
      </w:pPr>
      <w:r>
        <w:rPr>
          <w:sz w:val="24"/>
          <w:szCs w:val="24"/>
        </w:rPr>
        <w:t>3. - Dispositions générales</w:t>
      </w:r>
    </w:p>
    <w:p w14:paraId="0A214268" w14:textId="77777777" w:rsidR="00415D20" w:rsidRDefault="001B3DDF">
      <w:pPr>
        <w:rPr>
          <w:sz w:val="24"/>
          <w:szCs w:val="24"/>
        </w:rPr>
      </w:pPr>
      <w:r>
        <w:rPr>
          <w:sz w:val="24"/>
          <w:szCs w:val="24"/>
        </w:rPr>
        <w:t xml:space="preserve">    3.1. - Décomposition du marché</w:t>
      </w:r>
    </w:p>
    <w:p w14:paraId="38FD3CAA" w14:textId="77777777" w:rsidR="00415D20" w:rsidRDefault="001B3DDF">
      <w:pPr>
        <w:rPr>
          <w:sz w:val="24"/>
          <w:szCs w:val="24"/>
        </w:rPr>
      </w:pPr>
      <w:r>
        <w:rPr>
          <w:sz w:val="24"/>
          <w:szCs w:val="24"/>
        </w:rPr>
        <w:t xml:space="preserve">    3.2. - Durée du marché - délais d'exécution</w:t>
      </w:r>
    </w:p>
    <w:p w14:paraId="660D1807" w14:textId="77777777" w:rsidR="00415D20" w:rsidRDefault="001B3DDF">
      <w:pPr>
        <w:rPr>
          <w:sz w:val="24"/>
          <w:szCs w:val="24"/>
        </w:rPr>
      </w:pPr>
      <w:r>
        <w:rPr>
          <w:sz w:val="24"/>
          <w:szCs w:val="24"/>
        </w:rPr>
        <w:t xml:space="preserve">    3.3. - Modalités de financement et de paiement</w:t>
      </w:r>
    </w:p>
    <w:p w14:paraId="1F5FAF51" w14:textId="77777777" w:rsidR="00415D20" w:rsidRDefault="001B3DDF">
      <w:pPr>
        <w:rPr>
          <w:sz w:val="24"/>
          <w:szCs w:val="24"/>
        </w:rPr>
      </w:pPr>
      <w:r>
        <w:rPr>
          <w:sz w:val="24"/>
          <w:szCs w:val="24"/>
        </w:rPr>
        <w:t xml:space="preserve">    3.4. - Forme juridique de l'attributaire</w:t>
      </w:r>
    </w:p>
    <w:p w14:paraId="34D58A0C" w14:textId="77777777" w:rsidR="00415D20" w:rsidRDefault="001B3DDF">
      <w:pPr>
        <w:rPr>
          <w:sz w:val="24"/>
          <w:szCs w:val="24"/>
        </w:rPr>
      </w:pPr>
      <w:r>
        <w:rPr>
          <w:sz w:val="24"/>
          <w:szCs w:val="24"/>
        </w:rPr>
        <w:t xml:space="preserve">    3.5. - Délai de validité des propositions</w:t>
      </w:r>
    </w:p>
    <w:p w14:paraId="7F1DBD1B" w14:textId="77777777" w:rsidR="00415D20" w:rsidRDefault="001B3DDF">
      <w:pPr>
        <w:rPr>
          <w:sz w:val="24"/>
          <w:szCs w:val="24"/>
        </w:rPr>
      </w:pPr>
      <w:r>
        <w:rPr>
          <w:sz w:val="24"/>
          <w:szCs w:val="24"/>
        </w:rPr>
        <w:t xml:space="preserve">    3.6. - Variantes et options</w:t>
      </w:r>
      <w:r w:rsidR="00B563EF">
        <w:rPr>
          <w:sz w:val="24"/>
          <w:szCs w:val="24"/>
        </w:rPr>
        <w:t xml:space="preserve"> (PSE)</w:t>
      </w:r>
    </w:p>
    <w:p w14:paraId="32ECB157" w14:textId="77777777" w:rsidR="00415D20" w:rsidRDefault="001B3DDF">
      <w:pPr>
        <w:rPr>
          <w:sz w:val="24"/>
          <w:szCs w:val="24"/>
        </w:rPr>
      </w:pPr>
      <w:r>
        <w:rPr>
          <w:sz w:val="24"/>
          <w:szCs w:val="24"/>
        </w:rPr>
        <w:t xml:space="preserve">    3.7. - Autres dispositions</w:t>
      </w:r>
    </w:p>
    <w:p w14:paraId="3D5C2C40" w14:textId="77777777" w:rsidR="00415D20" w:rsidRDefault="001B3DDF">
      <w:pPr>
        <w:rPr>
          <w:sz w:val="24"/>
          <w:szCs w:val="24"/>
        </w:rPr>
      </w:pPr>
      <w:r>
        <w:rPr>
          <w:sz w:val="24"/>
          <w:szCs w:val="24"/>
        </w:rPr>
        <w:t>4. - Dossier de consultation</w:t>
      </w:r>
    </w:p>
    <w:p w14:paraId="141A5E55" w14:textId="77777777" w:rsidR="00415D20" w:rsidRDefault="001B3DDF">
      <w:pPr>
        <w:rPr>
          <w:sz w:val="24"/>
          <w:szCs w:val="24"/>
        </w:rPr>
      </w:pPr>
      <w:r>
        <w:rPr>
          <w:sz w:val="24"/>
          <w:szCs w:val="24"/>
        </w:rPr>
        <w:t xml:space="preserve">    4.1. - Contenu du dossier de consultation</w:t>
      </w:r>
    </w:p>
    <w:p w14:paraId="52A19681" w14:textId="77777777" w:rsidR="00415D20" w:rsidRDefault="001B3DDF">
      <w:pPr>
        <w:rPr>
          <w:sz w:val="24"/>
          <w:szCs w:val="24"/>
        </w:rPr>
      </w:pPr>
      <w:r>
        <w:rPr>
          <w:sz w:val="24"/>
          <w:szCs w:val="24"/>
        </w:rPr>
        <w:t xml:space="preserve">    4.2. - Mise à disposition du dossier de consultation par voie électronique</w:t>
      </w:r>
    </w:p>
    <w:p w14:paraId="1C17B279" w14:textId="77777777" w:rsidR="00415D20" w:rsidRDefault="001B3DDF">
      <w:pPr>
        <w:rPr>
          <w:sz w:val="24"/>
          <w:szCs w:val="24"/>
        </w:rPr>
      </w:pPr>
      <w:r>
        <w:rPr>
          <w:sz w:val="24"/>
          <w:szCs w:val="24"/>
        </w:rPr>
        <w:t xml:space="preserve">    4.3. - Modification de détail au dossier de consultation</w:t>
      </w:r>
    </w:p>
    <w:p w14:paraId="54269D1A" w14:textId="77777777" w:rsidR="00415D20" w:rsidRDefault="001B3DDF">
      <w:pPr>
        <w:rPr>
          <w:sz w:val="24"/>
          <w:szCs w:val="24"/>
        </w:rPr>
      </w:pPr>
      <w:r>
        <w:rPr>
          <w:sz w:val="24"/>
          <w:szCs w:val="24"/>
        </w:rPr>
        <w:t>5. - Présentation des propositions</w:t>
      </w:r>
    </w:p>
    <w:p w14:paraId="6865E3C8" w14:textId="77777777" w:rsidR="00415D20" w:rsidRDefault="001B3DDF">
      <w:pPr>
        <w:rPr>
          <w:sz w:val="24"/>
          <w:szCs w:val="24"/>
        </w:rPr>
      </w:pPr>
      <w:r>
        <w:rPr>
          <w:sz w:val="24"/>
          <w:szCs w:val="24"/>
        </w:rPr>
        <w:t xml:space="preserve">    5.1. - Documents à produire</w:t>
      </w:r>
    </w:p>
    <w:p w14:paraId="27E05ABB" w14:textId="77777777" w:rsidR="00415D20" w:rsidRDefault="001B3DDF">
      <w:pPr>
        <w:rPr>
          <w:sz w:val="24"/>
          <w:szCs w:val="24"/>
        </w:rPr>
      </w:pPr>
      <w:r>
        <w:rPr>
          <w:sz w:val="24"/>
          <w:szCs w:val="24"/>
        </w:rPr>
        <w:t xml:space="preserve">    5.</w:t>
      </w:r>
      <w:r w:rsidR="00790142">
        <w:rPr>
          <w:sz w:val="24"/>
          <w:szCs w:val="24"/>
        </w:rPr>
        <w:t>2</w:t>
      </w:r>
      <w:r>
        <w:rPr>
          <w:sz w:val="24"/>
          <w:szCs w:val="24"/>
        </w:rPr>
        <w:t>. - Langue de rédaction des propositions</w:t>
      </w:r>
    </w:p>
    <w:p w14:paraId="65058110" w14:textId="77777777" w:rsidR="00415D20" w:rsidRDefault="001B3DDF">
      <w:pPr>
        <w:rPr>
          <w:sz w:val="24"/>
          <w:szCs w:val="24"/>
        </w:rPr>
      </w:pPr>
      <w:r>
        <w:rPr>
          <w:sz w:val="24"/>
          <w:szCs w:val="24"/>
        </w:rPr>
        <w:t xml:space="preserve">    5.</w:t>
      </w:r>
      <w:r w:rsidR="00790142">
        <w:rPr>
          <w:sz w:val="24"/>
          <w:szCs w:val="24"/>
        </w:rPr>
        <w:t>3</w:t>
      </w:r>
      <w:r>
        <w:rPr>
          <w:sz w:val="24"/>
          <w:szCs w:val="24"/>
        </w:rPr>
        <w:t>. - Unité monétaire</w:t>
      </w:r>
    </w:p>
    <w:p w14:paraId="1F352772" w14:textId="77777777" w:rsidR="00415D20" w:rsidRDefault="00790142">
      <w:pPr>
        <w:rPr>
          <w:sz w:val="24"/>
          <w:szCs w:val="24"/>
        </w:rPr>
      </w:pPr>
      <w:r>
        <w:rPr>
          <w:sz w:val="24"/>
          <w:szCs w:val="24"/>
        </w:rPr>
        <w:t xml:space="preserve">    5.4</w:t>
      </w:r>
      <w:r w:rsidR="001B3DDF">
        <w:rPr>
          <w:sz w:val="24"/>
          <w:szCs w:val="24"/>
        </w:rPr>
        <w:t>. -Conditions d'envoi ou de remise des plis</w:t>
      </w:r>
    </w:p>
    <w:p w14:paraId="5536F1B7" w14:textId="77777777" w:rsidR="00415D20" w:rsidRDefault="001B3DDF">
      <w:pPr>
        <w:rPr>
          <w:sz w:val="24"/>
          <w:szCs w:val="24"/>
        </w:rPr>
      </w:pPr>
      <w:r>
        <w:rPr>
          <w:sz w:val="24"/>
          <w:szCs w:val="24"/>
        </w:rPr>
        <w:t>6. - Jugement des propositions</w:t>
      </w:r>
    </w:p>
    <w:p w14:paraId="37E3E740" w14:textId="77777777" w:rsidR="00415D20" w:rsidRDefault="001B3DDF">
      <w:pPr>
        <w:rPr>
          <w:sz w:val="24"/>
          <w:szCs w:val="24"/>
        </w:rPr>
      </w:pPr>
      <w:r>
        <w:rPr>
          <w:sz w:val="24"/>
          <w:szCs w:val="24"/>
        </w:rPr>
        <w:t xml:space="preserve">7. - Renseignements complémentaires </w:t>
      </w:r>
    </w:p>
    <w:p w14:paraId="3D2B6010" w14:textId="77777777" w:rsidR="00415D20" w:rsidRDefault="00415D20">
      <w:pPr>
        <w:pStyle w:val="RedLiRub"/>
        <w:widowControl/>
      </w:pPr>
    </w:p>
    <w:p w14:paraId="4411092C" w14:textId="77777777" w:rsidR="00415D20" w:rsidRDefault="00415D20">
      <w:pPr>
        <w:widowControl/>
      </w:pPr>
    </w:p>
    <w:p w14:paraId="5C99C223" w14:textId="77777777" w:rsidR="00415D20" w:rsidRDefault="001B3DDF">
      <w:pPr>
        <w:widowControl/>
      </w:pPr>
      <w:r>
        <w:br w:type="page"/>
      </w:r>
    </w:p>
    <w:p w14:paraId="11B99ACD" w14:textId="77777777" w:rsidR="00415D20" w:rsidRDefault="001B3DDF">
      <w:pPr>
        <w:pStyle w:val="RedTitre2"/>
        <w:pBdr>
          <w:top w:val="none" w:sz="0" w:space="0" w:color="auto"/>
          <w:left w:val="none" w:sz="0" w:space="0" w:color="auto"/>
          <w:bottom w:val="none" w:sz="0" w:space="0" w:color="auto"/>
          <w:right w:val="none" w:sz="0" w:space="0" w:color="auto"/>
        </w:pBdr>
        <w:shd w:val="pct5" w:color="auto" w:fill="auto"/>
        <w:spacing w:after="120"/>
      </w:pPr>
      <w:r>
        <w:lastRenderedPageBreak/>
        <w:t>Article  1 - Acheteur</w:t>
      </w:r>
    </w:p>
    <w:p w14:paraId="18745509" w14:textId="77777777" w:rsidR="00415D20" w:rsidRDefault="001B3DDF">
      <w:pPr>
        <w:pStyle w:val="RedTxt"/>
        <w:jc w:val="both"/>
        <w:rPr>
          <w:sz w:val="20"/>
          <w:szCs w:val="20"/>
        </w:rPr>
      </w:pPr>
      <w:r>
        <w:rPr>
          <w:b/>
          <w:bCs/>
          <w:sz w:val="20"/>
          <w:szCs w:val="20"/>
          <w:u w:val="single"/>
        </w:rPr>
        <w:t>Le pouvoir adjudicateur</w:t>
      </w:r>
      <w:r w:rsidR="00532779">
        <w:rPr>
          <w:sz w:val="20"/>
          <w:szCs w:val="20"/>
        </w:rPr>
        <w:t xml:space="preserve"> : Commune d</w:t>
      </w:r>
      <w:r w:rsidR="00E47AC1">
        <w:rPr>
          <w:sz w:val="20"/>
          <w:szCs w:val="20"/>
        </w:rPr>
        <w:t>e RAIZEUX</w:t>
      </w:r>
    </w:p>
    <w:p w14:paraId="41EEF457" w14:textId="77777777" w:rsidR="00415D20" w:rsidRDefault="00415D20">
      <w:pPr>
        <w:pStyle w:val="RedTxt"/>
        <w:jc w:val="both"/>
        <w:rPr>
          <w:sz w:val="20"/>
          <w:szCs w:val="20"/>
        </w:rPr>
      </w:pPr>
    </w:p>
    <w:p w14:paraId="07207EAF" w14:textId="77777777" w:rsidR="007D62C9" w:rsidRDefault="007D62C9" w:rsidP="007D62C9">
      <w:pPr>
        <w:pStyle w:val="RedTxt"/>
        <w:jc w:val="both"/>
        <w:rPr>
          <w:sz w:val="20"/>
          <w:szCs w:val="20"/>
        </w:rPr>
      </w:pPr>
      <w:r>
        <w:rPr>
          <w:sz w:val="20"/>
          <w:szCs w:val="20"/>
        </w:rPr>
        <w:t xml:space="preserve">Téléphone : </w:t>
      </w:r>
      <w:r w:rsidR="00532779">
        <w:rPr>
          <w:sz w:val="20"/>
          <w:szCs w:val="20"/>
        </w:rPr>
        <w:t>01.34.8</w:t>
      </w:r>
      <w:r w:rsidR="00E47AC1">
        <w:rPr>
          <w:sz w:val="20"/>
          <w:szCs w:val="20"/>
        </w:rPr>
        <w:t>3.56.06 -</w:t>
      </w:r>
      <w:r w:rsidR="00532779">
        <w:rPr>
          <w:sz w:val="20"/>
          <w:szCs w:val="20"/>
        </w:rPr>
        <w:t xml:space="preserve"> Télécopie : 01.34.</w:t>
      </w:r>
      <w:r w:rsidR="00E47AC1">
        <w:rPr>
          <w:sz w:val="20"/>
          <w:szCs w:val="20"/>
        </w:rPr>
        <w:t>83</w:t>
      </w:r>
      <w:r w:rsidR="00532779">
        <w:rPr>
          <w:sz w:val="20"/>
          <w:szCs w:val="20"/>
        </w:rPr>
        <w:t>.</w:t>
      </w:r>
      <w:r w:rsidR="00E47AC1">
        <w:rPr>
          <w:sz w:val="20"/>
          <w:szCs w:val="20"/>
        </w:rPr>
        <w:t>44</w:t>
      </w:r>
      <w:r w:rsidR="00532779">
        <w:rPr>
          <w:sz w:val="20"/>
          <w:szCs w:val="20"/>
        </w:rPr>
        <w:t>.</w:t>
      </w:r>
      <w:r w:rsidR="00E47AC1">
        <w:rPr>
          <w:sz w:val="20"/>
          <w:szCs w:val="20"/>
        </w:rPr>
        <w:t>45</w:t>
      </w:r>
    </w:p>
    <w:p w14:paraId="04A8A139" w14:textId="77777777" w:rsidR="00E06D74" w:rsidRDefault="00E06D74" w:rsidP="005017DB">
      <w:pPr>
        <w:pStyle w:val="RedTxt"/>
        <w:jc w:val="both"/>
        <w:rPr>
          <w:sz w:val="20"/>
          <w:szCs w:val="20"/>
        </w:rPr>
      </w:pPr>
    </w:p>
    <w:p w14:paraId="543DAA2C" w14:textId="77777777" w:rsidR="00532779" w:rsidRDefault="00532779" w:rsidP="005017DB">
      <w:pPr>
        <w:pStyle w:val="RedTxt"/>
        <w:jc w:val="both"/>
        <w:rPr>
          <w:sz w:val="20"/>
          <w:szCs w:val="20"/>
        </w:rPr>
      </w:pPr>
    </w:p>
    <w:tbl>
      <w:tblPr>
        <w:tblStyle w:val="Grilledutableau"/>
        <w:tblW w:w="9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842"/>
      </w:tblGrid>
      <w:tr w:rsidR="00E06D74" w14:paraId="263D6FC2" w14:textId="77777777" w:rsidTr="008F4080">
        <w:tc>
          <w:tcPr>
            <w:tcW w:w="4755" w:type="dxa"/>
          </w:tcPr>
          <w:p w14:paraId="5CB6491A" w14:textId="77777777" w:rsidR="003B0710" w:rsidRDefault="003B0710" w:rsidP="003B0710">
            <w:pPr>
              <w:rPr>
                <w:bCs/>
              </w:rPr>
            </w:pPr>
            <w:r w:rsidRPr="000A0993">
              <w:rPr>
                <w:b/>
                <w:bCs/>
                <w:u w:val="single"/>
              </w:rPr>
              <w:t>Coordination Sécurité – Protection de la santé</w:t>
            </w:r>
            <w:r w:rsidRPr="000A0993">
              <w:rPr>
                <w:bCs/>
              </w:rPr>
              <w:t xml:space="preserve"> : </w:t>
            </w:r>
          </w:p>
          <w:p w14:paraId="581F5298" w14:textId="77777777" w:rsidR="003B0710" w:rsidRDefault="003B0710" w:rsidP="003B0710">
            <w:pPr>
              <w:rPr>
                <w:bCs/>
              </w:rPr>
            </w:pPr>
          </w:p>
          <w:p w14:paraId="44B07D7D" w14:textId="77777777" w:rsidR="000A0993" w:rsidRPr="000A0993" w:rsidRDefault="003B0710" w:rsidP="003B0710">
            <w:pPr>
              <w:rPr>
                <w:bCs/>
              </w:rPr>
            </w:pPr>
            <w:r w:rsidRPr="005017DB">
              <w:rPr>
                <w:bCs/>
              </w:rPr>
              <w:t>A définir</w:t>
            </w:r>
          </w:p>
        </w:tc>
        <w:tc>
          <w:tcPr>
            <w:tcW w:w="4842" w:type="dxa"/>
          </w:tcPr>
          <w:p w14:paraId="41CB104F" w14:textId="77777777" w:rsidR="00E06D74" w:rsidRPr="005017DB" w:rsidRDefault="00E06D74" w:rsidP="005017DB">
            <w:pPr>
              <w:rPr>
                <w:bCs/>
              </w:rPr>
            </w:pPr>
          </w:p>
        </w:tc>
      </w:tr>
    </w:tbl>
    <w:p w14:paraId="1DF51CC7" w14:textId="77777777" w:rsidR="00415D20" w:rsidRDefault="001B3DDF">
      <w:pPr>
        <w:pStyle w:val="RedTitre2"/>
        <w:pBdr>
          <w:top w:val="none" w:sz="0" w:space="0" w:color="auto"/>
          <w:left w:val="none" w:sz="0" w:space="0" w:color="auto"/>
          <w:bottom w:val="none" w:sz="0" w:space="0" w:color="auto"/>
          <w:right w:val="none" w:sz="0" w:space="0" w:color="auto"/>
        </w:pBdr>
        <w:shd w:val="pct5" w:color="auto" w:fill="auto"/>
        <w:spacing w:after="120"/>
      </w:pPr>
      <w:r>
        <w:t>Article  2 - Objet de la consultation</w:t>
      </w:r>
    </w:p>
    <w:p w14:paraId="5F5DB3B7" w14:textId="77777777" w:rsidR="00415D20" w:rsidRDefault="001B3DDF">
      <w:pPr>
        <w:pStyle w:val="RedPara"/>
        <w:spacing w:after="120"/>
        <w:ind w:firstLine="709"/>
      </w:pPr>
      <w:r>
        <w:t>2-1-Objet du marché</w:t>
      </w:r>
    </w:p>
    <w:p w14:paraId="2F2E952B" w14:textId="77777777" w:rsidR="003B05BB" w:rsidRPr="00053CAC" w:rsidRDefault="003B05BB" w:rsidP="003B05BB">
      <w:pPr>
        <w:pStyle w:val="Corpsdetexte"/>
        <w:rPr>
          <w:rFonts w:cs="Andalus"/>
        </w:rPr>
      </w:pPr>
      <w:r w:rsidRPr="00053CAC">
        <w:rPr>
          <w:rFonts w:cs="Andalus"/>
        </w:rPr>
        <w:t>Les travaux concernent l’église paroissiale de RAIZEUX. Cet édifice ne fait l’objet d’aucune mesure de protection au titre des Monuments historiques.</w:t>
      </w:r>
    </w:p>
    <w:p w14:paraId="291D55E9" w14:textId="77777777" w:rsidR="003B05BB" w:rsidRDefault="003B05BB" w:rsidP="003B05BB">
      <w:pPr>
        <w:pStyle w:val="Corpsdetexte"/>
        <w:rPr>
          <w:rFonts w:cs="Andalus"/>
        </w:rPr>
      </w:pPr>
      <w:r w:rsidRPr="00053CAC">
        <w:rPr>
          <w:rFonts w:cs="Andalus"/>
        </w:rPr>
        <w:tab/>
        <w:t>Ce bâtiment a fait l’objet d’un diagnostic général en 2008 consultable en mairie.</w:t>
      </w:r>
    </w:p>
    <w:p w14:paraId="65758377" w14:textId="77777777" w:rsidR="003B05BB" w:rsidRPr="00053CAC" w:rsidRDefault="003B05BB" w:rsidP="003B05BB">
      <w:pPr>
        <w:pStyle w:val="Corpsdetexte"/>
        <w:rPr>
          <w:rFonts w:cs="Andalus"/>
        </w:rPr>
      </w:pPr>
      <w:r>
        <w:rPr>
          <w:rFonts w:cs="Andalus"/>
        </w:rPr>
        <w:tab/>
        <w:t>De plus en amont de cette consultation une campagne de recherche de polychromie a été confiée, sous les conseils de l’Architecte du Patrimoine, par la municipalité à Madame isabelle STETTEN. Son étude est jointe au présent dossier de consultation.</w:t>
      </w:r>
    </w:p>
    <w:p w14:paraId="6841526E" w14:textId="77777777" w:rsidR="003B05BB" w:rsidRPr="00053CAC" w:rsidRDefault="003B05BB" w:rsidP="003B05BB">
      <w:pPr>
        <w:pStyle w:val="Corpsdetexte"/>
        <w:rPr>
          <w:rFonts w:cs="Andalus"/>
        </w:rPr>
      </w:pPr>
      <w:r w:rsidRPr="00053CAC">
        <w:rPr>
          <w:rFonts w:cs="Andalus"/>
        </w:rPr>
        <w:t>Les postes décrits ci - après portent sur :</w:t>
      </w:r>
    </w:p>
    <w:p w14:paraId="2D043CE0" w14:textId="77777777" w:rsidR="003B05BB" w:rsidRPr="00053CAC" w:rsidRDefault="003B05BB" w:rsidP="003B05BB">
      <w:pPr>
        <w:pStyle w:val="Corpsdetexte"/>
        <w:rPr>
          <w:rFonts w:cs="Andalus"/>
        </w:rPr>
      </w:pPr>
      <w:r w:rsidRPr="00053CAC">
        <w:rPr>
          <w:rFonts w:cs="Andalus"/>
        </w:rPr>
        <w:tab/>
      </w:r>
    </w:p>
    <w:p w14:paraId="16A01AF8" w14:textId="6B6532F8" w:rsidR="003B05BB" w:rsidRDefault="003B05BB" w:rsidP="003B05BB">
      <w:pPr>
        <w:pStyle w:val="Corpsdetexte"/>
        <w:widowControl/>
        <w:numPr>
          <w:ilvl w:val="0"/>
          <w:numId w:val="16"/>
        </w:numPr>
        <w:autoSpaceDE/>
        <w:autoSpaceDN/>
        <w:adjustRightInd/>
        <w:spacing w:after="0"/>
        <w:jc w:val="both"/>
        <w:rPr>
          <w:rFonts w:cs="Times New Roman"/>
        </w:rPr>
      </w:pPr>
      <w:r w:rsidRPr="00053CAC">
        <w:rPr>
          <w:rFonts w:cs="Andalus"/>
        </w:rPr>
        <w:t>Les travaux de r</w:t>
      </w:r>
      <w:r>
        <w:rPr>
          <w:rFonts w:cs="Andalus"/>
        </w:rPr>
        <w:t>avalement des fonds internes de la nef, du narthex et de la tribune</w:t>
      </w:r>
    </w:p>
    <w:p w14:paraId="4A8CFB46" w14:textId="77777777" w:rsidR="003B05BB" w:rsidRDefault="003B05BB" w:rsidP="003B05BB">
      <w:pPr>
        <w:pStyle w:val="RedPara"/>
        <w:spacing w:after="120"/>
      </w:pPr>
    </w:p>
    <w:p w14:paraId="28EF0007" w14:textId="1F2787AF" w:rsidR="00415D20" w:rsidRDefault="001B3DDF">
      <w:pPr>
        <w:pStyle w:val="RedPara"/>
        <w:spacing w:after="120"/>
        <w:ind w:firstLine="709"/>
      </w:pPr>
      <w:r>
        <w:t>2-2-Procédure de passation</w:t>
      </w:r>
    </w:p>
    <w:p w14:paraId="73E0D871" w14:textId="77777777" w:rsidR="00873C1A" w:rsidRPr="00873C1A" w:rsidRDefault="006E0160" w:rsidP="00873C1A">
      <w:pPr>
        <w:pStyle w:val="RedTxt"/>
        <w:jc w:val="both"/>
        <w:rPr>
          <w:sz w:val="20"/>
          <w:szCs w:val="20"/>
        </w:rPr>
      </w:pPr>
      <w:r w:rsidRPr="006E0160">
        <w:rPr>
          <w:sz w:val="20"/>
          <w:szCs w:val="20"/>
        </w:rPr>
        <w:t>La consultation est passée par Procédure adaptée en application de l' (des) article 27- du décret n°2016-360 du 25 mars 2016 relatif aux Marchés Publics.</w:t>
      </w:r>
    </w:p>
    <w:p w14:paraId="13DC6755" w14:textId="77777777" w:rsidR="00415D20" w:rsidRDefault="001B3DDF">
      <w:pPr>
        <w:pStyle w:val="RedPara"/>
        <w:spacing w:after="120"/>
        <w:ind w:firstLine="709"/>
      </w:pPr>
      <w:r>
        <w:t>2-3-Forme du marché</w:t>
      </w:r>
    </w:p>
    <w:p w14:paraId="0974DA29" w14:textId="77777777" w:rsidR="00CB3CE9" w:rsidRPr="00CB3CE9" w:rsidRDefault="00CB3CE9" w:rsidP="00CB3CE9">
      <w:pPr>
        <w:widowControl/>
        <w:autoSpaceDE/>
        <w:autoSpaceDN/>
        <w:adjustRightInd/>
        <w:spacing w:after="240"/>
        <w:jc w:val="both"/>
        <w:rPr>
          <w:rFonts w:ascii="Verdana" w:eastAsia="Times New Roman" w:hAnsi="Verdana" w:cs="Times New Roman"/>
          <w:noProof/>
          <w:spacing w:val="-6"/>
          <w:sz w:val="18"/>
        </w:rPr>
      </w:pPr>
      <w:r w:rsidRPr="00CB3CE9">
        <w:rPr>
          <w:rFonts w:ascii="Verdana" w:eastAsia="Times New Roman" w:hAnsi="Verdana" w:cs="Times New Roman"/>
          <w:b/>
          <w:noProof/>
          <w:spacing w:val="-6"/>
          <w:sz w:val="18"/>
        </w:rPr>
        <w:sym w:font="Wingdings" w:char="F078"/>
      </w:r>
      <w:r w:rsidRPr="00CB3CE9">
        <w:rPr>
          <w:rFonts w:ascii="Verdana" w:eastAsia="Times New Roman" w:hAnsi="Verdana" w:cs="Times New Roman"/>
          <w:noProof/>
          <w:spacing w:val="-6"/>
          <w:sz w:val="18"/>
        </w:rPr>
        <w:t xml:space="preserve"> Il n'est pas prévu de décomposition en tranches.</w:t>
      </w:r>
    </w:p>
    <w:p w14:paraId="62E205CC" w14:textId="77777777" w:rsidR="00415D20" w:rsidRPr="00CB3CE9" w:rsidRDefault="00CB3CE9" w:rsidP="00CB3CE9">
      <w:pPr>
        <w:widowControl/>
        <w:autoSpaceDE/>
        <w:autoSpaceDN/>
        <w:adjustRightInd/>
        <w:spacing w:after="240"/>
        <w:jc w:val="both"/>
        <w:rPr>
          <w:rFonts w:ascii="Verdana" w:eastAsia="Times New Roman" w:hAnsi="Verdana" w:cs="Times New Roman"/>
          <w:strike/>
          <w:noProof/>
          <w:spacing w:val="-6"/>
          <w:sz w:val="18"/>
        </w:rPr>
      </w:pPr>
      <w:r w:rsidRPr="00CB3CE9">
        <w:rPr>
          <w:rFonts w:ascii="Verdana" w:eastAsia="Times New Roman" w:hAnsi="Verdana" w:cs="Times New Roman"/>
          <w:b/>
          <w:strike/>
          <w:noProof/>
          <w:spacing w:val="-6"/>
          <w:sz w:val="18"/>
        </w:rPr>
        <w:fldChar w:fldCharType="begin"/>
      </w:r>
      <w:r w:rsidRPr="00CB3CE9">
        <w:rPr>
          <w:rFonts w:ascii="Verdana" w:eastAsia="Times New Roman" w:hAnsi="Verdana" w:cs="Times New Roman"/>
          <w:b/>
          <w:strike/>
          <w:noProof/>
          <w:spacing w:val="-6"/>
          <w:sz w:val="18"/>
        </w:rPr>
        <w:instrText>SYMBOL 113 \f "Wingdings"</w:instrText>
      </w:r>
      <w:r w:rsidRPr="00CB3CE9">
        <w:rPr>
          <w:rFonts w:ascii="Verdana" w:eastAsia="Times New Roman" w:hAnsi="Verdana" w:cs="Times New Roman"/>
          <w:b/>
          <w:strike/>
          <w:noProof/>
          <w:spacing w:val="-6"/>
          <w:sz w:val="18"/>
        </w:rPr>
        <w:fldChar w:fldCharType="end"/>
      </w:r>
      <w:r w:rsidRPr="00CB3CE9">
        <w:rPr>
          <w:rFonts w:ascii="Verdana" w:eastAsia="Times New Roman" w:hAnsi="Verdana" w:cs="Times New Roman"/>
          <w:strike/>
          <w:noProof/>
          <w:spacing w:val="-6"/>
          <w:sz w:val="18"/>
        </w:rPr>
        <w:t xml:space="preserve"> Il est prévu une décomposition en tranches</w:t>
      </w:r>
      <w:r w:rsidR="00081198" w:rsidRPr="00CB3CE9">
        <w:rPr>
          <w:rFonts w:ascii="Verdana" w:eastAsia="Times New Roman" w:hAnsi="Verdana" w:cs="Times New Roman"/>
          <w:strike/>
          <w:noProof/>
          <w:spacing w:val="-6"/>
          <w:sz w:val="18"/>
        </w:rPr>
        <w:t>.</w:t>
      </w:r>
    </w:p>
    <w:p w14:paraId="14055813" w14:textId="77777777" w:rsidR="00415D20" w:rsidRDefault="001B3DDF">
      <w:pPr>
        <w:pStyle w:val="RedTitre2"/>
        <w:pBdr>
          <w:top w:val="none" w:sz="0" w:space="0" w:color="auto"/>
          <w:left w:val="none" w:sz="0" w:space="0" w:color="auto"/>
          <w:bottom w:val="none" w:sz="0" w:space="0" w:color="auto"/>
          <w:right w:val="none" w:sz="0" w:space="0" w:color="auto"/>
        </w:pBdr>
        <w:shd w:val="pct5" w:color="auto" w:fill="auto"/>
        <w:spacing w:after="120"/>
      </w:pPr>
      <w:r>
        <w:t>Article  3 - Dispositions générales</w:t>
      </w:r>
    </w:p>
    <w:p w14:paraId="2C109922" w14:textId="77777777" w:rsidR="00415D20" w:rsidRDefault="001B3DDF">
      <w:pPr>
        <w:pStyle w:val="RedPara"/>
        <w:spacing w:after="120"/>
        <w:ind w:firstLine="709"/>
      </w:pPr>
      <w:r>
        <w:t>3-1-Décomposition du marché</w:t>
      </w:r>
    </w:p>
    <w:p w14:paraId="13CF8B17" w14:textId="77777777" w:rsidR="00415D20" w:rsidRDefault="001B3DDF">
      <w:pPr>
        <w:pStyle w:val="RedRub"/>
        <w:spacing w:after="120"/>
        <w:ind w:left="709" w:firstLine="709"/>
      </w:pPr>
      <w:r>
        <w:rPr>
          <w:sz w:val="20"/>
          <w:szCs w:val="20"/>
        </w:rPr>
        <w:t>3-1-1-Lots</w:t>
      </w:r>
    </w:p>
    <w:p w14:paraId="1C17ADC0" w14:textId="52972934" w:rsidR="00731EDC" w:rsidRPr="00156C40" w:rsidRDefault="00731EDC" w:rsidP="00731EDC">
      <w:pPr>
        <w:pStyle w:val="RedTxt"/>
        <w:jc w:val="both"/>
        <w:rPr>
          <w:sz w:val="20"/>
          <w:szCs w:val="20"/>
        </w:rPr>
      </w:pPr>
      <w:r w:rsidRPr="00156C40">
        <w:rPr>
          <w:sz w:val="20"/>
          <w:szCs w:val="20"/>
        </w:rPr>
        <w:t xml:space="preserve">Les prestations du marché font l'objet de </w:t>
      </w:r>
      <w:r w:rsidR="003B05BB">
        <w:rPr>
          <w:sz w:val="20"/>
          <w:szCs w:val="20"/>
        </w:rPr>
        <w:t>1</w:t>
      </w:r>
      <w:r w:rsidRPr="00156C40">
        <w:rPr>
          <w:sz w:val="20"/>
          <w:szCs w:val="20"/>
        </w:rPr>
        <w:t xml:space="preserve"> lot : </w:t>
      </w:r>
    </w:p>
    <w:p w14:paraId="537161A9" w14:textId="77777777" w:rsidR="00731EDC" w:rsidRDefault="00731EDC" w:rsidP="00731EDC">
      <w:pPr>
        <w:keepLines/>
        <w:jc w:val="both"/>
      </w:pPr>
    </w:p>
    <w:tbl>
      <w:tblPr>
        <w:tblW w:w="0" w:type="auto"/>
        <w:tblInd w:w="708" w:type="dxa"/>
        <w:tblCellMar>
          <w:left w:w="70" w:type="dxa"/>
          <w:right w:w="70" w:type="dxa"/>
        </w:tblCellMar>
        <w:tblLook w:val="04A0" w:firstRow="1" w:lastRow="0" w:firstColumn="1" w:lastColumn="0" w:noHBand="0" w:noVBand="1"/>
      </w:tblPr>
      <w:tblGrid>
        <w:gridCol w:w="1605"/>
        <w:gridCol w:w="6757"/>
      </w:tblGrid>
      <w:tr w:rsidR="003B05BB" w14:paraId="26A7321B" w14:textId="77777777" w:rsidTr="00B74B8F">
        <w:trPr>
          <w:trHeight w:val="397"/>
        </w:trPr>
        <w:tc>
          <w:tcPr>
            <w:tcW w:w="1605" w:type="dxa"/>
            <w:hideMark/>
          </w:tcPr>
          <w:p w14:paraId="2CB618EF" w14:textId="77777777" w:rsidR="003B05BB" w:rsidRDefault="003B05BB" w:rsidP="00B74B8F">
            <w:pPr>
              <w:pStyle w:val="En-tte"/>
              <w:tabs>
                <w:tab w:val="left" w:pos="708"/>
              </w:tabs>
              <w:rPr>
                <w:lang w:val="en-GB"/>
              </w:rPr>
            </w:pPr>
            <w:bookmarkStart w:id="0" w:name="_Hlk11945093"/>
            <w:r>
              <w:rPr>
                <w:lang w:val="en-GB"/>
              </w:rPr>
              <w:t>LOT N° 0</w:t>
            </w:r>
          </w:p>
        </w:tc>
        <w:tc>
          <w:tcPr>
            <w:tcW w:w="6757" w:type="dxa"/>
            <w:hideMark/>
          </w:tcPr>
          <w:p w14:paraId="60E75B52" w14:textId="77777777" w:rsidR="003B05BB" w:rsidRDefault="003B05BB" w:rsidP="00B74B8F">
            <w:pPr>
              <w:pStyle w:val="En-tte"/>
              <w:tabs>
                <w:tab w:val="left" w:pos="708"/>
              </w:tabs>
              <w:rPr>
                <w:lang w:val="en-GB"/>
              </w:rPr>
            </w:pPr>
            <w:r>
              <w:rPr>
                <w:lang w:val="en-GB"/>
              </w:rPr>
              <w:t>GENERALITES TCE</w:t>
            </w:r>
          </w:p>
        </w:tc>
      </w:tr>
      <w:tr w:rsidR="003B05BB" w14:paraId="669BCF79" w14:textId="77777777" w:rsidTr="00B74B8F">
        <w:trPr>
          <w:trHeight w:val="397"/>
        </w:trPr>
        <w:tc>
          <w:tcPr>
            <w:tcW w:w="1605" w:type="dxa"/>
            <w:hideMark/>
          </w:tcPr>
          <w:p w14:paraId="7739FD10" w14:textId="77777777" w:rsidR="003B05BB" w:rsidRDefault="003B05BB" w:rsidP="00B74B8F">
            <w:pPr>
              <w:pStyle w:val="En-tte"/>
              <w:tabs>
                <w:tab w:val="left" w:pos="708"/>
              </w:tabs>
            </w:pPr>
            <w:r>
              <w:t>LOT N° 1</w:t>
            </w:r>
          </w:p>
        </w:tc>
        <w:tc>
          <w:tcPr>
            <w:tcW w:w="6757" w:type="dxa"/>
            <w:hideMark/>
          </w:tcPr>
          <w:p w14:paraId="06AE450E" w14:textId="77777777" w:rsidR="003B05BB" w:rsidRPr="00E43818" w:rsidRDefault="003B05BB" w:rsidP="00B74B8F">
            <w:pPr>
              <w:pStyle w:val="En-tte"/>
              <w:tabs>
                <w:tab w:val="left" w:pos="708"/>
              </w:tabs>
              <w:rPr>
                <w:sz w:val="22"/>
                <w:szCs w:val="22"/>
              </w:rPr>
            </w:pPr>
            <w:r w:rsidRPr="00E43818">
              <w:rPr>
                <w:sz w:val="22"/>
                <w:szCs w:val="22"/>
              </w:rPr>
              <w:t>INSTALLATION DE CHANTIER – RAVALEMENT - BADIGEON</w:t>
            </w:r>
          </w:p>
        </w:tc>
      </w:tr>
      <w:bookmarkEnd w:id="0"/>
    </w:tbl>
    <w:p w14:paraId="7C9559F4" w14:textId="77777777" w:rsidR="00E47AC1" w:rsidRPr="001F2C26" w:rsidRDefault="00E47AC1" w:rsidP="00731EDC">
      <w:pPr>
        <w:keepLines/>
        <w:jc w:val="both"/>
      </w:pPr>
    </w:p>
    <w:p w14:paraId="08A8E865" w14:textId="77777777" w:rsidR="00415D20" w:rsidRDefault="00415D20">
      <w:pPr>
        <w:pStyle w:val="RedTxt"/>
        <w:jc w:val="both"/>
        <w:rPr>
          <w:sz w:val="20"/>
          <w:szCs w:val="20"/>
        </w:rPr>
      </w:pPr>
    </w:p>
    <w:p w14:paraId="52E81CD1" w14:textId="77777777" w:rsidR="00273B93" w:rsidRPr="00273B93" w:rsidRDefault="00273B93" w:rsidP="00273B93">
      <w:pPr>
        <w:keepLines/>
        <w:rPr>
          <w:sz w:val="18"/>
          <w:szCs w:val="18"/>
        </w:rPr>
      </w:pPr>
      <w:r w:rsidRPr="00273B93">
        <w:rPr>
          <w:sz w:val="18"/>
          <w:szCs w:val="18"/>
        </w:rPr>
        <w:t>Le marché pourra être conclu :</w:t>
      </w:r>
    </w:p>
    <w:p w14:paraId="2DA66B9F" w14:textId="77777777" w:rsidR="00273B93" w:rsidRPr="00273B93" w:rsidRDefault="00273B93" w:rsidP="00273B93">
      <w:pPr>
        <w:keepLines/>
        <w:rPr>
          <w:sz w:val="18"/>
          <w:szCs w:val="18"/>
        </w:rPr>
      </w:pPr>
    </w:p>
    <w:p w14:paraId="647B899A" w14:textId="77777777" w:rsidR="00273B93" w:rsidRPr="00273B93" w:rsidRDefault="00273B93" w:rsidP="00273B93">
      <w:pPr>
        <w:keepLines/>
        <w:rPr>
          <w:sz w:val="18"/>
          <w:szCs w:val="18"/>
        </w:rPr>
      </w:pPr>
      <w:r w:rsidRPr="00273B93">
        <w:rPr>
          <w:sz w:val="18"/>
          <w:szCs w:val="18"/>
        </w:rPr>
        <w:tab/>
      </w:r>
      <w:r w:rsidRPr="00273B93">
        <w:rPr>
          <w:sz w:val="18"/>
          <w:szCs w:val="18"/>
        </w:rPr>
        <w:tab/>
      </w:r>
      <w:proofErr w:type="gramStart"/>
      <w:r w:rsidRPr="00273B93">
        <w:rPr>
          <w:sz w:val="18"/>
          <w:szCs w:val="18"/>
        </w:rPr>
        <w:t>soit</w:t>
      </w:r>
      <w:proofErr w:type="gramEnd"/>
      <w:r w:rsidRPr="00273B93">
        <w:rPr>
          <w:sz w:val="18"/>
          <w:szCs w:val="18"/>
        </w:rPr>
        <w:t xml:space="preserve"> avec des entreprises agissant seules</w:t>
      </w:r>
    </w:p>
    <w:p w14:paraId="725AC6CA" w14:textId="77777777" w:rsidR="00273B93" w:rsidRPr="00273B93" w:rsidRDefault="00273B93" w:rsidP="00273B93">
      <w:pPr>
        <w:keepLines/>
        <w:rPr>
          <w:sz w:val="18"/>
          <w:szCs w:val="18"/>
        </w:rPr>
      </w:pPr>
      <w:r w:rsidRPr="00273B93">
        <w:rPr>
          <w:sz w:val="18"/>
          <w:szCs w:val="18"/>
        </w:rPr>
        <w:tab/>
      </w:r>
      <w:r w:rsidRPr="00273B93">
        <w:rPr>
          <w:sz w:val="18"/>
          <w:szCs w:val="18"/>
        </w:rPr>
        <w:tab/>
      </w:r>
      <w:proofErr w:type="gramStart"/>
      <w:r w:rsidRPr="00273B93">
        <w:rPr>
          <w:sz w:val="18"/>
          <w:szCs w:val="18"/>
        </w:rPr>
        <w:t>soit</w:t>
      </w:r>
      <w:proofErr w:type="gramEnd"/>
      <w:r w:rsidRPr="00273B93">
        <w:rPr>
          <w:sz w:val="18"/>
          <w:szCs w:val="18"/>
        </w:rPr>
        <w:t xml:space="preserve"> avec un groupement d’entreprises solidaires </w:t>
      </w:r>
    </w:p>
    <w:p w14:paraId="1F89182A" w14:textId="77777777" w:rsidR="00273B93" w:rsidRPr="00273B93" w:rsidRDefault="00273B93" w:rsidP="00273B93">
      <w:pPr>
        <w:keepLines/>
        <w:rPr>
          <w:sz w:val="18"/>
          <w:szCs w:val="18"/>
        </w:rPr>
      </w:pPr>
      <w:r w:rsidRPr="00273B93">
        <w:rPr>
          <w:sz w:val="18"/>
          <w:szCs w:val="18"/>
        </w:rPr>
        <w:tab/>
      </w:r>
      <w:r w:rsidRPr="00273B93">
        <w:rPr>
          <w:sz w:val="18"/>
          <w:szCs w:val="18"/>
        </w:rPr>
        <w:tab/>
      </w:r>
      <w:r w:rsidRPr="00273B93">
        <w:rPr>
          <w:sz w:val="18"/>
          <w:szCs w:val="18"/>
        </w:rPr>
        <w:tab/>
      </w:r>
    </w:p>
    <w:p w14:paraId="6970C292" w14:textId="77777777" w:rsidR="00273B93" w:rsidRPr="00273B93" w:rsidRDefault="00273B93" w:rsidP="00273B93">
      <w:pPr>
        <w:keepLines/>
        <w:rPr>
          <w:sz w:val="18"/>
          <w:szCs w:val="18"/>
        </w:rPr>
      </w:pPr>
      <w:r w:rsidRPr="00273B93">
        <w:rPr>
          <w:sz w:val="18"/>
          <w:szCs w:val="18"/>
        </w:rPr>
        <w:tab/>
      </w:r>
      <w:r w:rsidR="00F82EEF">
        <w:rPr>
          <w:sz w:val="18"/>
          <w:szCs w:val="18"/>
        </w:rPr>
        <w:t>Les entreprises</w:t>
      </w:r>
      <w:r w:rsidRPr="00273B93">
        <w:rPr>
          <w:sz w:val="18"/>
          <w:szCs w:val="18"/>
        </w:rPr>
        <w:t xml:space="preserve"> peuvent </w:t>
      </w:r>
      <w:r w:rsidR="00F82EEF">
        <w:rPr>
          <w:sz w:val="18"/>
          <w:szCs w:val="18"/>
        </w:rPr>
        <w:t>répondre pour</w:t>
      </w:r>
      <w:r w:rsidRPr="00273B93">
        <w:rPr>
          <w:sz w:val="18"/>
          <w:szCs w:val="18"/>
        </w:rPr>
        <w:t>:</w:t>
      </w:r>
    </w:p>
    <w:p w14:paraId="25E5478A" w14:textId="77777777" w:rsidR="00273B93" w:rsidRPr="00273B93" w:rsidRDefault="00273B93" w:rsidP="00273B93">
      <w:pPr>
        <w:keepLines/>
        <w:rPr>
          <w:sz w:val="18"/>
          <w:szCs w:val="18"/>
        </w:rPr>
      </w:pPr>
      <w:r w:rsidRPr="00273B93">
        <w:rPr>
          <w:sz w:val="18"/>
          <w:szCs w:val="18"/>
        </w:rPr>
        <w:tab/>
        <w:t>-</w:t>
      </w:r>
      <w:r w:rsidRPr="00273B93">
        <w:rPr>
          <w:sz w:val="18"/>
          <w:szCs w:val="18"/>
        </w:rPr>
        <w:tab/>
        <w:t xml:space="preserve">  Un lot</w:t>
      </w:r>
    </w:p>
    <w:p w14:paraId="67F62D35" w14:textId="7EBC2046" w:rsidR="00273B93" w:rsidRPr="00273B93" w:rsidRDefault="00273B93" w:rsidP="00F82EEF">
      <w:pPr>
        <w:keepLines/>
        <w:rPr>
          <w:sz w:val="18"/>
          <w:szCs w:val="18"/>
        </w:rPr>
      </w:pPr>
    </w:p>
    <w:p w14:paraId="6A312D4F" w14:textId="77777777" w:rsidR="00273B93" w:rsidRDefault="00273B93">
      <w:pPr>
        <w:pStyle w:val="RedRub"/>
        <w:spacing w:after="120"/>
        <w:ind w:left="709" w:firstLine="709"/>
        <w:rPr>
          <w:sz w:val="20"/>
          <w:szCs w:val="20"/>
        </w:rPr>
      </w:pPr>
    </w:p>
    <w:p w14:paraId="7BA40E7B" w14:textId="77777777" w:rsidR="00415D20" w:rsidRDefault="001B3DDF">
      <w:pPr>
        <w:pStyle w:val="RedRub"/>
        <w:spacing w:after="120"/>
        <w:ind w:left="709" w:firstLine="709"/>
      </w:pPr>
      <w:r>
        <w:rPr>
          <w:sz w:val="20"/>
          <w:szCs w:val="20"/>
        </w:rPr>
        <w:t>3-1-2-Tranches</w:t>
      </w:r>
    </w:p>
    <w:p w14:paraId="5FCC7C44" w14:textId="77777777" w:rsidR="004612EC" w:rsidRDefault="004612EC">
      <w:pPr>
        <w:pStyle w:val="RedTxt"/>
        <w:jc w:val="both"/>
        <w:rPr>
          <w:sz w:val="20"/>
          <w:szCs w:val="20"/>
        </w:rPr>
      </w:pPr>
      <w:r>
        <w:rPr>
          <w:sz w:val="20"/>
          <w:szCs w:val="20"/>
        </w:rPr>
        <w:t>Sans objet.</w:t>
      </w:r>
    </w:p>
    <w:p w14:paraId="42C83902" w14:textId="77777777" w:rsidR="005213D4" w:rsidRDefault="005213D4">
      <w:pPr>
        <w:pStyle w:val="RedTxt"/>
        <w:jc w:val="both"/>
      </w:pPr>
    </w:p>
    <w:p w14:paraId="163FE8AE" w14:textId="77777777" w:rsidR="00415D20" w:rsidRDefault="001B3DDF">
      <w:pPr>
        <w:pStyle w:val="RedRub"/>
        <w:spacing w:after="120"/>
        <w:ind w:left="709" w:firstLine="709"/>
      </w:pPr>
      <w:r>
        <w:rPr>
          <w:sz w:val="20"/>
          <w:szCs w:val="20"/>
        </w:rPr>
        <w:t>3-1-3-Phases</w:t>
      </w:r>
    </w:p>
    <w:p w14:paraId="2CCE24B8" w14:textId="77777777" w:rsidR="00415D20" w:rsidRDefault="001B3DDF">
      <w:pPr>
        <w:pStyle w:val="RedTxt"/>
        <w:jc w:val="both"/>
        <w:rPr>
          <w:sz w:val="20"/>
          <w:szCs w:val="20"/>
        </w:rPr>
      </w:pPr>
      <w:r>
        <w:rPr>
          <w:sz w:val="20"/>
          <w:szCs w:val="20"/>
        </w:rPr>
        <w:t>Il n'est pas prévu de décomposition en phases.</w:t>
      </w:r>
    </w:p>
    <w:p w14:paraId="7B636196" w14:textId="77777777" w:rsidR="00035D44" w:rsidRDefault="00035D44">
      <w:pPr>
        <w:pStyle w:val="RedTxt"/>
        <w:jc w:val="both"/>
      </w:pPr>
    </w:p>
    <w:p w14:paraId="2EA3A0EB" w14:textId="77777777" w:rsidR="00415D20" w:rsidRDefault="001B3DDF">
      <w:pPr>
        <w:pStyle w:val="RedPara"/>
        <w:spacing w:after="120"/>
        <w:ind w:firstLine="709"/>
      </w:pPr>
      <w:r>
        <w:t>3-2-Durée du marché - Délai d'exécution</w:t>
      </w:r>
    </w:p>
    <w:p w14:paraId="566120BA" w14:textId="77777777" w:rsidR="00415D20" w:rsidRDefault="001B3DDF">
      <w:pPr>
        <w:pStyle w:val="RedTxt"/>
        <w:jc w:val="both"/>
        <w:rPr>
          <w:sz w:val="20"/>
          <w:szCs w:val="20"/>
        </w:rPr>
      </w:pPr>
      <w:r w:rsidRPr="00D21D9E">
        <w:rPr>
          <w:sz w:val="20"/>
          <w:szCs w:val="20"/>
        </w:rPr>
        <w:t>La</w:t>
      </w:r>
      <w:r w:rsidR="00035D44" w:rsidRPr="00D21D9E">
        <w:rPr>
          <w:sz w:val="20"/>
          <w:szCs w:val="20"/>
        </w:rPr>
        <w:t xml:space="preserve"> durée du marché</w:t>
      </w:r>
      <w:r w:rsidR="00D21D9E">
        <w:rPr>
          <w:sz w:val="20"/>
          <w:szCs w:val="20"/>
        </w:rPr>
        <w:t xml:space="preserve"> d’exécution </w:t>
      </w:r>
      <w:r w:rsidR="00E47AC1">
        <w:rPr>
          <w:sz w:val="20"/>
          <w:szCs w:val="20"/>
        </w:rPr>
        <w:t>es</w:t>
      </w:r>
      <w:r w:rsidR="00D21D9E">
        <w:rPr>
          <w:sz w:val="20"/>
          <w:szCs w:val="20"/>
        </w:rPr>
        <w:t>t fixé</w:t>
      </w:r>
      <w:r w:rsidR="00035D44" w:rsidRPr="00D21D9E">
        <w:rPr>
          <w:sz w:val="20"/>
          <w:szCs w:val="20"/>
        </w:rPr>
        <w:t xml:space="preserve"> à</w:t>
      </w:r>
      <w:r w:rsidR="00D21D9E" w:rsidRPr="00D21D9E">
        <w:rPr>
          <w:sz w:val="20"/>
          <w:szCs w:val="20"/>
        </w:rPr>
        <w:t> :</w:t>
      </w:r>
    </w:p>
    <w:p w14:paraId="673152BD" w14:textId="77777777" w:rsidR="00D21D9E" w:rsidRDefault="00D21D9E">
      <w:pPr>
        <w:pStyle w:val="RedTxt"/>
        <w:jc w:val="both"/>
        <w:rPr>
          <w:sz w:val="20"/>
          <w:szCs w:val="20"/>
        </w:rPr>
      </w:pPr>
    </w:p>
    <w:p w14:paraId="6A400E53" w14:textId="4C93AC11" w:rsidR="00D21D9E" w:rsidRDefault="003B05BB" w:rsidP="00E47AC1">
      <w:pPr>
        <w:pStyle w:val="RedTxt"/>
        <w:numPr>
          <w:ilvl w:val="0"/>
          <w:numId w:val="3"/>
        </w:numPr>
        <w:jc w:val="both"/>
        <w:rPr>
          <w:sz w:val="20"/>
          <w:szCs w:val="20"/>
        </w:rPr>
      </w:pPr>
      <w:r>
        <w:rPr>
          <w:sz w:val="20"/>
          <w:szCs w:val="20"/>
        </w:rPr>
        <w:t>4</w:t>
      </w:r>
      <w:r w:rsidR="00E47AC1">
        <w:rPr>
          <w:sz w:val="20"/>
          <w:szCs w:val="20"/>
        </w:rPr>
        <w:t xml:space="preserve"> mois</w:t>
      </w:r>
    </w:p>
    <w:p w14:paraId="3672750C" w14:textId="77777777" w:rsidR="00BA6DE8" w:rsidRDefault="00BA6DE8">
      <w:pPr>
        <w:pStyle w:val="RedTxt"/>
        <w:jc w:val="both"/>
      </w:pPr>
    </w:p>
    <w:p w14:paraId="6001209A" w14:textId="77777777" w:rsidR="00415D20" w:rsidRDefault="001B3DDF">
      <w:pPr>
        <w:pStyle w:val="RedPara"/>
        <w:spacing w:after="120"/>
        <w:ind w:firstLine="709"/>
      </w:pPr>
      <w:r>
        <w:t>3-3-Modalités de financement et de paiement</w:t>
      </w:r>
    </w:p>
    <w:p w14:paraId="264CAC95" w14:textId="77777777" w:rsidR="00415D20" w:rsidRDefault="001B3DDF">
      <w:pPr>
        <w:pStyle w:val="RedTxt"/>
        <w:jc w:val="both"/>
        <w:rPr>
          <w:sz w:val="20"/>
          <w:szCs w:val="20"/>
        </w:rPr>
      </w:pPr>
      <w:r>
        <w:rPr>
          <w:sz w:val="20"/>
          <w:szCs w:val="20"/>
        </w:rPr>
        <w:t xml:space="preserve">Le règlement des dépenses se fera par </w:t>
      </w:r>
      <w:r w:rsidR="00C75343">
        <w:rPr>
          <w:sz w:val="20"/>
          <w:szCs w:val="20"/>
        </w:rPr>
        <w:t>virement administratif.</w:t>
      </w:r>
      <w:r>
        <w:rPr>
          <w:sz w:val="20"/>
          <w:szCs w:val="20"/>
        </w:rPr>
        <w:t xml:space="preserve"> Le présent marché est financé sur les ressources propres de l'établissement.</w:t>
      </w:r>
    </w:p>
    <w:p w14:paraId="66859489" w14:textId="77777777" w:rsidR="004612EC" w:rsidRDefault="004612EC">
      <w:pPr>
        <w:pStyle w:val="RedTxt"/>
        <w:jc w:val="both"/>
      </w:pPr>
    </w:p>
    <w:p w14:paraId="2DA045C1" w14:textId="77777777" w:rsidR="00415D20" w:rsidRDefault="001B3DDF">
      <w:pPr>
        <w:pStyle w:val="RedPara"/>
        <w:spacing w:after="120"/>
        <w:ind w:firstLine="709"/>
      </w:pPr>
      <w:r>
        <w:t>3-4-Forme juridique de l'attributaire</w:t>
      </w:r>
    </w:p>
    <w:p w14:paraId="78A0CBDC" w14:textId="77777777" w:rsidR="00415D20" w:rsidRDefault="001B3DDF">
      <w:pPr>
        <w:pStyle w:val="RedTxt"/>
        <w:jc w:val="both"/>
        <w:rPr>
          <w:sz w:val="20"/>
          <w:szCs w:val="20"/>
        </w:rPr>
      </w:pPr>
      <w:r>
        <w:rPr>
          <w:sz w:val="20"/>
          <w:szCs w:val="20"/>
        </w:rPr>
        <w:t>Aucune forme de groupement n'est imposée par le pouvoir adjudicateur.</w:t>
      </w:r>
    </w:p>
    <w:p w14:paraId="4BB9B374" w14:textId="77777777" w:rsidR="00415D20" w:rsidRDefault="00415D20">
      <w:pPr>
        <w:pStyle w:val="RedTxt"/>
        <w:jc w:val="both"/>
      </w:pPr>
    </w:p>
    <w:p w14:paraId="2E263EC9" w14:textId="77777777" w:rsidR="00415D20" w:rsidRDefault="001B3DDF">
      <w:pPr>
        <w:pStyle w:val="RedTxt"/>
        <w:jc w:val="both"/>
        <w:rPr>
          <w:sz w:val="20"/>
          <w:szCs w:val="20"/>
        </w:rPr>
      </w:pPr>
      <w:r>
        <w:rPr>
          <w:sz w:val="20"/>
          <w:szCs w:val="20"/>
        </w:rPr>
        <w:t>En cas d'attribution du marché à un groupement conjoint, le mandataire du groupement sera solidaire, pour l'exécution du marché, de chacun des membres du groupement pour ses obligations contractuelles en application de l'article 51-II du Code des marchés publics.</w:t>
      </w:r>
    </w:p>
    <w:p w14:paraId="0C43701A" w14:textId="77777777" w:rsidR="00035D44" w:rsidRDefault="00035D44">
      <w:pPr>
        <w:pStyle w:val="RedTxt"/>
        <w:jc w:val="both"/>
      </w:pPr>
    </w:p>
    <w:p w14:paraId="12304913" w14:textId="77777777" w:rsidR="00415D20" w:rsidRDefault="001B3DDF">
      <w:pPr>
        <w:pStyle w:val="RedPara"/>
        <w:spacing w:after="120"/>
        <w:ind w:firstLine="709"/>
      </w:pPr>
      <w:r>
        <w:t>3-5-Délai de validité des propositions</w:t>
      </w:r>
    </w:p>
    <w:p w14:paraId="61701725" w14:textId="77777777" w:rsidR="00415D20" w:rsidRDefault="001B3DDF">
      <w:pPr>
        <w:pStyle w:val="RedTxt"/>
        <w:jc w:val="both"/>
      </w:pPr>
      <w:r>
        <w:rPr>
          <w:sz w:val="20"/>
          <w:szCs w:val="20"/>
        </w:rPr>
        <w:t>Le délai de val</w:t>
      </w:r>
      <w:r w:rsidR="00F82EEF">
        <w:rPr>
          <w:sz w:val="20"/>
          <w:szCs w:val="20"/>
        </w:rPr>
        <w:t>idité des propositions est de 12</w:t>
      </w:r>
      <w:r>
        <w:rPr>
          <w:sz w:val="20"/>
          <w:szCs w:val="20"/>
        </w:rPr>
        <w:t>0 jours à compter de la date limite fixée pour la réception des propositions.</w:t>
      </w:r>
    </w:p>
    <w:p w14:paraId="2434DDF4" w14:textId="77777777" w:rsidR="00415D20" w:rsidRDefault="001B3DDF">
      <w:pPr>
        <w:pStyle w:val="RedPara"/>
        <w:spacing w:after="120"/>
        <w:ind w:firstLine="709"/>
      </w:pPr>
      <w:r>
        <w:t xml:space="preserve">3-6-Variantes </w:t>
      </w:r>
      <w:r w:rsidR="00035D44">
        <w:t>(Prestations supplémentaires éventuelles)</w:t>
      </w:r>
    </w:p>
    <w:p w14:paraId="1B33A89E" w14:textId="77777777" w:rsidR="00EB32AB" w:rsidRDefault="00EB32AB" w:rsidP="00EB32AB">
      <w:pPr>
        <w:keepLines/>
        <w:jc w:val="both"/>
        <w:rPr>
          <w:b/>
          <w:color w:val="000000" w:themeColor="text1"/>
        </w:rPr>
      </w:pPr>
      <w:r w:rsidRPr="00EB32AB">
        <w:rPr>
          <w:color w:val="000000" w:themeColor="text1"/>
        </w:rPr>
        <w:t xml:space="preserve">Les  entreprises  peuvent  proposer  des  variantes.  En tout état de cause, </w:t>
      </w:r>
      <w:r w:rsidRPr="00EB32AB">
        <w:rPr>
          <w:b/>
          <w:color w:val="000000" w:themeColor="text1"/>
        </w:rPr>
        <w:t>chaque candidat doit présenter une proposition entièrement conforme au dossier de consultation (solution de base). Par ailleurs chaque solution en variante, fera l’objet d’un acte d’engagement distinct.</w:t>
      </w:r>
    </w:p>
    <w:p w14:paraId="27D87A1C" w14:textId="77777777" w:rsidR="00EB32AB" w:rsidRPr="00EB32AB" w:rsidRDefault="00EB32AB" w:rsidP="00EB32AB">
      <w:pPr>
        <w:keepLines/>
        <w:jc w:val="both"/>
        <w:rPr>
          <w:b/>
          <w:color w:val="000000" w:themeColor="text1"/>
        </w:rPr>
      </w:pPr>
    </w:p>
    <w:p w14:paraId="36D14D4E" w14:textId="77777777" w:rsidR="00415D20" w:rsidRDefault="001B3DDF">
      <w:pPr>
        <w:pStyle w:val="RedTitre2"/>
        <w:pBdr>
          <w:top w:val="none" w:sz="0" w:space="0" w:color="auto"/>
          <w:left w:val="none" w:sz="0" w:space="0" w:color="auto"/>
          <w:bottom w:val="none" w:sz="0" w:space="0" w:color="auto"/>
          <w:right w:val="none" w:sz="0" w:space="0" w:color="auto"/>
        </w:pBdr>
        <w:shd w:val="pct5" w:color="auto" w:fill="auto"/>
        <w:spacing w:after="120"/>
      </w:pPr>
      <w:r>
        <w:t>Article  4 - Dossier de consultation</w:t>
      </w:r>
    </w:p>
    <w:p w14:paraId="168F679B" w14:textId="77777777" w:rsidR="00415D20" w:rsidRDefault="001B3DDF">
      <w:pPr>
        <w:pStyle w:val="RedPara"/>
        <w:spacing w:after="120"/>
        <w:ind w:firstLine="709"/>
      </w:pPr>
      <w:r>
        <w:t>4-1-Contenu du dossier de consultation</w:t>
      </w:r>
    </w:p>
    <w:p w14:paraId="1686569D" w14:textId="77777777" w:rsidR="00415D20" w:rsidRDefault="001B3DDF">
      <w:pPr>
        <w:pStyle w:val="RedTxt"/>
        <w:jc w:val="both"/>
        <w:rPr>
          <w:sz w:val="20"/>
          <w:szCs w:val="20"/>
        </w:rPr>
      </w:pPr>
      <w:r>
        <w:rPr>
          <w:sz w:val="20"/>
          <w:szCs w:val="20"/>
        </w:rPr>
        <w:t>Le dossier de consultation comprend les documents suivants :</w:t>
      </w:r>
    </w:p>
    <w:p w14:paraId="3AB58C71" w14:textId="77777777" w:rsidR="00415D20" w:rsidRDefault="001B3DDF">
      <w:pPr>
        <w:pStyle w:val="RedTxt"/>
        <w:jc w:val="both"/>
        <w:rPr>
          <w:sz w:val="20"/>
          <w:szCs w:val="20"/>
        </w:rPr>
      </w:pPr>
      <w:r>
        <w:rPr>
          <w:sz w:val="20"/>
          <w:szCs w:val="20"/>
        </w:rPr>
        <w:t>- le règlement de la consultation,</w:t>
      </w:r>
    </w:p>
    <w:p w14:paraId="61D9A8DC" w14:textId="77777777" w:rsidR="006E0160" w:rsidRDefault="001B3DDF">
      <w:pPr>
        <w:pStyle w:val="RedTxt"/>
        <w:jc w:val="both"/>
        <w:rPr>
          <w:sz w:val="20"/>
          <w:szCs w:val="20"/>
        </w:rPr>
      </w:pPr>
      <w:r>
        <w:rPr>
          <w:sz w:val="20"/>
          <w:szCs w:val="20"/>
        </w:rPr>
        <w:t xml:space="preserve">- les actes d'engagement </w:t>
      </w:r>
    </w:p>
    <w:p w14:paraId="762FE9A5" w14:textId="77777777" w:rsidR="00415D20" w:rsidRDefault="001B3DDF">
      <w:pPr>
        <w:pStyle w:val="RedTxt"/>
        <w:jc w:val="both"/>
        <w:rPr>
          <w:sz w:val="20"/>
          <w:szCs w:val="20"/>
        </w:rPr>
      </w:pPr>
      <w:r>
        <w:rPr>
          <w:sz w:val="20"/>
          <w:szCs w:val="20"/>
        </w:rPr>
        <w:t>- le CCAP,</w:t>
      </w:r>
    </w:p>
    <w:p w14:paraId="27234419" w14:textId="77777777" w:rsidR="00530650" w:rsidRDefault="001B3DDF">
      <w:pPr>
        <w:pStyle w:val="RedTxt"/>
        <w:jc w:val="both"/>
        <w:rPr>
          <w:sz w:val="20"/>
          <w:szCs w:val="20"/>
        </w:rPr>
      </w:pPr>
      <w:r>
        <w:rPr>
          <w:sz w:val="20"/>
          <w:szCs w:val="20"/>
        </w:rPr>
        <w:t>- les CCTP et les annexes</w:t>
      </w:r>
      <w:r w:rsidR="00530650">
        <w:rPr>
          <w:sz w:val="20"/>
          <w:szCs w:val="20"/>
        </w:rPr>
        <w:t xml:space="preserve"> : </w:t>
      </w:r>
    </w:p>
    <w:p w14:paraId="0EF82EF4" w14:textId="77777777" w:rsidR="00FA0024" w:rsidRPr="00FA0024" w:rsidRDefault="00FA0024" w:rsidP="00FA0024">
      <w:pPr>
        <w:pStyle w:val="RedTxt"/>
        <w:jc w:val="both"/>
        <w:rPr>
          <w:sz w:val="20"/>
          <w:szCs w:val="20"/>
        </w:rPr>
      </w:pPr>
    </w:p>
    <w:p w14:paraId="622DFF23" w14:textId="77777777" w:rsidR="00415D20" w:rsidRDefault="001B3DDF">
      <w:pPr>
        <w:pStyle w:val="RedPara"/>
        <w:spacing w:after="120"/>
        <w:ind w:firstLine="709"/>
      </w:pPr>
      <w:r>
        <w:t>4-2-Mise à disposition du dossier de consultation par voie électronique</w:t>
      </w:r>
    </w:p>
    <w:p w14:paraId="19A1B9E8" w14:textId="77777777" w:rsidR="00415D20" w:rsidRPr="00273B93" w:rsidRDefault="00E65BFC">
      <w:pPr>
        <w:pStyle w:val="RedTxt"/>
        <w:jc w:val="both"/>
        <w:rPr>
          <w:color w:val="000000" w:themeColor="text1"/>
          <w:sz w:val="20"/>
          <w:szCs w:val="20"/>
        </w:rPr>
      </w:pPr>
      <w:r w:rsidRPr="00E65BFC">
        <w:rPr>
          <w:sz w:val="20"/>
          <w:szCs w:val="20"/>
        </w:rPr>
        <w:t>Conformément à l'article 41 du décret n°2016-360 du 25 mars 2</w:t>
      </w:r>
      <w:r>
        <w:rPr>
          <w:sz w:val="20"/>
          <w:szCs w:val="20"/>
        </w:rPr>
        <w:t>016 relatif aux Marchés Publics</w:t>
      </w:r>
      <w:r w:rsidR="001B3DDF">
        <w:rPr>
          <w:sz w:val="20"/>
          <w:szCs w:val="20"/>
        </w:rPr>
        <w:t>, le pouvoir adjudicateur met à disposition le dossier de consultation par voie électronique, à l'adresse sui</w:t>
      </w:r>
      <w:r w:rsidR="004612EC">
        <w:rPr>
          <w:sz w:val="20"/>
          <w:szCs w:val="20"/>
        </w:rPr>
        <w:t xml:space="preserve">vante : </w:t>
      </w:r>
      <w:r w:rsidR="00C75343" w:rsidRPr="00273B93">
        <w:rPr>
          <w:color w:val="000000" w:themeColor="text1"/>
          <w:sz w:val="20"/>
          <w:szCs w:val="20"/>
        </w:rPr>
        <w:t>https://www.</w:t>
      </w:r>
      <w:r w:rsidR="003B2238">
        <w:rPr>
          <w:color w:val="000000" w:themeColor="text1"/>
          <w:sz w:val="20"/>
          <w:szCs w:val="20"/>
        </w:rPr>
        <w:t>achatpublic.com</w:t>
      </w:r>
      <w:r w:rsidR="00C75343" w:rsidRPr="00273B93">
        <w:rPr>
          <w:color w:val="000000" w:themeColor="text1"/>
          <w:sz w:val="20"/>
          <w:szCs w:val="20"/>
        </w:rPr>
        <w:t>.</w:t>
      </w:r>
    </w:p>
    <w:p w14:paraId="6C65CB1A" w14:textId="77777777" w:rsidR="00415D20" w:rsidRPr="00273B93" w:rsidRDefault="00415D20">
      <w:pPr>
        <w:pStyle w:val="RedTxt"/>
        <w:jc w:val="both"/>
        <w:rPr>
          <w:color w:val="000000" w:themeColor="text1"/>
          <w:sz w:val="20"/>
          <w:szCs w:val="20"/>
        </w:rPr>
      </w:pPr>
    </w:p>
    <w:p w14:paraId="182D8BC6" w14:textId="77777777" w:rsidR="00415D20" w:rsidRDefault="001B3DDF">
      <w:pPr>
        <w:pStyle w:val="RedTxt"/>
        <w:jc w:val="both"/>
        <w:rPr>
          <w:sz w:val="20"/>
          <w:szCs w:val="20"/>
        </w:rPr>
      </w:pPr>
      <w:r>
        <w:rPr>
          <w:sz w:val="20"/>
          <w:szCs w:val="20"/>
        </w:rPr>
        <w:t>Les soumissionnaires pourront s'authentifier sur le site et notamment indiquer une adresse courriel électronique permettant de façon certaine une correspondance électronique notamment pour l'envoi d'éventuels compléments, précisions ou rectifications.</w:t>
      </w:r>
    </w:p>
    <w:p w14:paraId="2657F0FD" w14:textId="77777777" w:rsidR="00415D20" w:rsidRDefault="00415D20">
      <w:pPr>
        <w:pStyle w:val="RedTxt"/>
        <w:jc w:val="both"/>
      </w:pPr>
    </w:p>
    <w:p w14:paraId="16C4ED62" w14:textId="77777777" w:rsidR="00415D20" w:rsidRDefault="001B3DDF">
      <w:pPr>
        <w:pStyle w:val="RedPara"/>
        <w:spacing w:after="120"/>
        <w:ind w:firstLine="709"/>
      </w:pPr>
      <w:r>
        <w:lastRenderedPageBreak/>
        <w:t>4-3-Modification de détail au dossier de consultation</w:t>
      </w:r>
    </w:p>
    <w:p w14:paraId="1BD3896B" w14:textId="77777777" w:rsidR="00415D20" w:rsidRPr="00273B93" w:rsidRDefault="001B3DDF">
      <w:pPr>
        <w:pStyle w:val="RedTxt"/>
        <w:jc w:val="both"/>
        <w:rPr>
          <w:color w:val="000000" w:themeColor="text1"/>
          <w:sz w:val="20"/>
          <w:szCs w:val="20"/>
        </w:rPr>
      </w:pPr>
      <w:r>
        <w:rPr>
          <w:sz w:val="20"/>
          <w:szCs w:val="20"/>
        </w:rPr>
        <w:t>Le pouvoir adjudicateur se réserve le droit d'apporter, au plus tard 7 jours avant la date limite fixée pour la remise des offres, des modifications de détail au dossier de consultation mis à la disposition des candidat</w:t>
      </w:r>
      <w:r w:rsidR="004612EC">
        <w:rPr>
          <w:sz w:val="20"/>
          <w:szCs w:val="20"/>
        </w:rPr>
        <w:t xml:space="preserve">s, sur le site </w:t>
      </w:r>
      <w:r w:rsidR="00C75343" w:rsidRPr="00273B93">
        <w:rPr>
          <w:color w:val="000000" w:themeColor="text1"/>
          <w:sz w:val="20"/>
          <w:szCs w:val="20"/>
        </w:rPr>
        <w:t>https://www.</w:t>
      </w:r>
      <w:r w:rsidR="003B2238">
        <w:rPr>
          <w:color w:val="000000" w:themeColor="text1"/>
          <w:sz w:val="20"/>
          <w:szCs w:val="20"/>
        </w:rPr>
        <w:t>achatpublic.com</w:t>
      </w:r>
    </w:p>
    <w:p w14:paraId="1D4B85EB" w14:textId="77777777" w:rsidR="00415D20" w:rsidRDefault="001B3DDF">
      <w:pPr>
        <w:pStyle w:val="RedTxt"/>
        <w:jc w:val="both"/>
        <w:rPr>
          <w:sz w:val="20"/>
          <w:szCs w:val="20"/>
        </w:rPr>
      </w:pPr>
      <w:r>
        <w:rPr>
          <w:sz w:val="20"/>
          <w:szCs w:val="20"/>
        </w:rPr>
        <w:t>Les opérateurs économiques devront alors répondre sur la base du dossier modifié sans pouvoir élever aucune réclamation à ce sujet.</w:t>
      </w:r>
    </w:p>
    <w:p w14:paraId="755D5D1D" w14:textId="77777777" w:rsidR="00415D20" w:rsidRDefault="001B3DDF">
      <w:pPr>
        <w:pStyle w:val="RedTxt"/>
        <w:jc w:val="both"/>
        <w:rPr>
          <w:sz w:val="20"/>
          <w:szCs w:val="20"/>
        </w:rPr>
      </w:pPr>
      <w:r>
        <w:rPr>
          <w:sz w:val="20"/>
          <w:szCs w:val="20"/>
        </w:rPr>
        <w:t>Si, pendant l'étude du dossier par les opérateurs économiques, la date limite fixée pour la remise des offres est reportée, la disposition précédente est applicable en fonction de cette nouvelle date.</w:t>
      </w:r>
    </w:p>
    <w:p w14:paraId="19CA0C16" w14:textId="77777777" w:rsidR="00415D20" w:rsidRDefault="00415D20">
      <w:pPr>
        <w:pStyle w:val="RedTxt"/>
        <w:jc w:val="both"/>
      </w:pPr>
    </w:p>
    <w:p w14:paraId="773E66DB" w14:textId="77777777" w:rsidR="00415D20" w:rsidRDefault="001B3DDF">
      <w:pPr>
        <w:pStyle w:val="RedTitre2"/>
        <w:pBdr>
          <w:top w:val="none" w:sz="0" w:space="0" w:color="auto"/>
          <w:left w:val="none" w:sz="0" w:space="0" w:color="auto"/>
          <w:bottom w:val="none" w:sz="0" w:space="0" w:color="auto"/>
          <w:right w:val="none" w:sz="0" w:space="0" w:color="auto"/>
        </w:pBdr>
        <w:shd w:val="pct5" w:color="auto" w:fill="auto"/>
        <w:spacing w:after="120"/>
      </w:pPr>
      <w:r>
        <w:t>Article  5 - Présentation des propositions</w:t>
      </w:r>
    </w:p>
    <w:p w14:paraId="2FFCC89C" w14:textId="77777777" w:rsidR="00415D20" w:rsidRDefault="001B3DDF">
      <w:pPr>
        <w:pStyle w:val="RedPara"/>
        <w:spacing w:after="120"/>
        <w:ind w:firstLine="709"/>
      </w:pPr>
      <w:r>
        <w:t>5-1-Documents à produire</w:t>
      </w:r>
    </w:p>
    <w:p w14:paraId="0FA8D5A0" w14:textId="77777777" w:rsidR="00415D20" w:rsidRDefault="001B3DDF">
      <w:pPr>
        <w:pStyle w:val="RedTxt"/>
        <w:jc w:val="both"/>
        <w:rPr>
          <w:sz w:val="20"/>
          <w:szCs w:val="20"/>
        </w:rPr>
      </w:pPr>
      <w:r>
        <w:rPr>
          <w:sz w:val="20"/>
          <w:szCs w:val="20"/>
        </w:rPr>
        <w:t xml:space="preserve">Le dossier à remettre par chaque candidat comprendra les pièces suivantes :  </w:t>
      </w:r>
    </w:p>
    <w:p w14:paraId="5B182381" w14:textId="77777777" w:rsidR="00415D20" w:rsidRDefault="00415D20">
      <w:pPr>
        <w:pStyle w:val="RedTxt"/>
        <w:jc w:val="both"/>
        <w:rPr>
          <w:sz w:val="20"/>
          <w:szCs w:val="20"/>
        </w:rPr>
      </w:pPr>
    </w:p>
    <w:p w14:paraId="4816F789" w14:textId="77777777" w:rsidR="00415D20" w:rsidRDefault="001B3DDF">
      <w:pPr>
        <w:pStyle w:val="RedTxt"/>
        <w:jc w:val="both"/>
        <w:rPr>
          <w:sz w:val="20"/>
          <w:szCs w:val="20"/>
        </w:rPr>
      </w:pPr>
      <w:r>
        <w:rPr>
          <w:b/>
          <w:bCs/>
          <w:sz w:val="20"/>
          <w:szCs w:val="20"/>
          <w:u w:val="single"/>
        </w:rPr>
        <w:t>Justificatifs candidature</w:t>
      </w:r>
    </w:p>
    <w:p w14:paraId="34231D49" w14:textId="77777777" w:rsidR="00415D20" w:rsidRDefault="001B3DDF">
      <w:pPr>
        <w:pStyle w:val="RedTxt"/>
        <w:jc w:val="both"/>
        <w:rPr>
          <w:sz w:val="20"/>
          <w:szCs w:val="20"/>
        </w:rPr>
      </w:pPr>
      <w:r>
        <w:rPr>
          <w:sz w:val="20"/>
          <w:szCs w:val="20"/>
        </w:rPr>
        <w:t>- Lettre de candidature (DC1 disponible sur http://www.economie.gouv.fr/daj/formulaires)</w:t>
      </w:r>
    </w:p>
    <w:p w14:paraId="42273D2E" w14:textId="77777777" w:rsidR="00415D20" w:rsidRDefault="001B3DDF">
      <w:pPr>
        <w:pStyle w:val="RedTxt"/>
        <w:jc w:val="both"/>
        <w:rPr>
          <w:sz w:val="20"/>
          <w:szCs w:val="20"/>
        </w:rPr>
      </w:pPr>
      <w:r>
        <w:rPr>
          <w:sz w:val="20"/>
          <w:szCs w:val="20"/>
        </w:rPr>
        <w:t>- Déclaration du candidat (DC2 disponible sur http://www.economie.gouv.fr/daj/formulaires)</w:t>
      </w:r>
    </w:p>
    <w:p w14:paraId="7662E85F" w14:textId="77777777" w:rsidR="00415D20" w:rsidRDefault="001B3DDF">
      <w:pPr>
        <w:pStyle w:val="RedTxt"/>
        <w:jc w:val="both"/>
        <w:rPr>
          <w:sz w:val="20"/>
          <w:szCs w:val="20"/>
        </w:rPr>
      </w:pPr>
      <w:r>
        <w:rPr>
          <w:sz w:val="20"/>
          <w:szCs w:val="20"/>
        </w:rPr>
        <w:t>- Les attestations d'assurance responsabilité civile et professionnelle</w:t>
      </w:r>
    </w:p>
    <w:p w14:paraId="4B797C79" w14:textId="77777777" w:rsidR="00415D20" w:rsidRDefault="001B3DDF">
      <w:pPr>
        <w:pStyle w:val="RedTxt"/>
        <w:jc w:val="both"/>
        <w:rPr>
          <w:sz w:val="20"/>
          <w:szCs w:val="20"/>
        </w:rPr>
      </w:pPr>
      <w:r>
        <w:rPr>
          <w:sz w:val="20"/>
          <w:szCs w:val="20"/>
        </w:rPr>
        <w:t>- Description des moyens humains (nombre et qualification du personnel et des sous-traitants…) et matériels (logistique, informatique…) de l'opérateur économique représentatifs de l'objet du marché.</w:t>
      </w:r>
    </w:p>
    <w:p w14:paraId="0EA90075" w14:textId="77777777" w:rsidR="00415D20" w:rsidRDefault="001B3DDF">
      <w:pPr>
        <w:pStyle w:val="RedTxt"/>
        <w:jc w:val="both"/>
        <w:rPr>
          <w:sz w:val="20"/>
          <w:szCs w:val="20"/>
        </w:rPr>
      </w:pPr>
      <w:r>
        <w:rPr>
          <w:sz w:val="20"/>
          <w:szCs w:val="20"/>
        </w:rPr>
        <w:t>- Qualifications professionnelles : La preuve de la qualification de l'opérateur économique peut être apportée par tout moyen (certificats d'identité professionnelle, références de travaux attestant de la compétence de l'opérateur à réaliser la prestation ...).</w:t>
      </w:r>
    </w:p>
    <w:p w14:paraId="04833B76" w14:textId="77777777" w:rsidR="00415D20" w:rsidRDefault="001B3DDF">
      <w:pPr>
        <w:pStyle w:val="RedTxt"/>
        <w:jc w:val="both"/>
        <w:rPr>
          <w:sz w:val="20"/>
          <w:szCs w:val="20"/>
        </w:rPr>
      </w:pPr>
      <w:r>
        <w:rPr>
          <w:sz w:val="20"/>
          <w:szCs w:val="20"/>
        </w:rPr>
        <w:t>- Indication des titres d'études et professionnels de l'opérateur économique et/ou des cadres de l'entreprise, et notamment des responsables de prestation de services ou de conduite des travaux de même nature que celle du marché.</w:t>
      </w:r>
    </w:p>
    <w:p w14:paraId="398CBEC3" w14:textId="77777777" w:rsidR="00415D20" w:rsidRDefault="00415D20">
      <w:pPr>
        <w:pStyle w:val="RedTxt"/>
        <w:jc w:val="both"/>
        <w:rPr>
          <w:sz w:val="20"/>
          <w:szCs w:val="20"/>
        </w:rPr>
      </w:pPr>
    </w:p>
    <w:p w14:paraId="677F0EB6" w14:textId="77777777" w:rsidR="00415D20" w:rsidRDefault="001B3DDF">
      <w:pPr>
        <w:pStyle w:val="RedTxt"/>
        <w:jc w:val="both"/>
        <w:rPr>
          <w:b/>
          <w:bCs/>
          <w:sz w:val="20"/>
          <w:szCs w:val="20"/>
          <w:u w:val="single"/>
        </w:rPr>
      </w:pPr>
      <w:r>
        <w:rPr>
          <w:b/>
          <w:bCs/>
          <w:sz w:val="20"/>
          <w:szCs w:val="20"/>
          <w:u w:val="single"/>
        </w:rPr>
        <w:t>Contenu de l'offre</w:t>
      </w:r>
    </w:p>
    <w:p w14:paraId="10644E16" w14:textId="77777777" w:rsidR="00790142" w:rsidRDefault="00790142">
      <w:pPr>
        <w:pStyle w:val="RedTxt"/>
        <w:jc w:val="both"/>
        <w:rPr>
          <w:sz w:val="20"/>
          <w:szCs w:val="20"/>
        </w:rPr>
      </w:pPr>
    </w:p>
    <w:p w14:paraId="73146008" w14:textId="77777777" w:rsidR="00530650" w:rsidRDefault="001B3DDF">
      <w:pPr>
        <w:pStyle w:val="RedTxt"/>
        <w:jc w:val="both"/>
        <w:rPr>
          <w:sz w:val="20"/>
          <w:szCs w:val="20"/>
        </w:rPr>
      </w:pPr>
      <w:r>
        <w:rPr>
          <w:sz w:val="20"/>
          <w:szCs w:val="20"/>
        </w:rPr>
        <w:t>-</w:t>
      </w:r>
      <w:r w:rsidR="005A2EA9">
        <w:rPr>
          <w:sz w:val="20"/>
          <w:szCs w:val="20"/>
        </w:rPr>
        <w:t xml:space="preserve"> Acte d'engagement.</w:t>
      </w:r>
    </w:p>
    <w:p w14:paraId="6FB4FC07" w14:textId="77777777" w:rsidR="005A2EA9" w:rsidRDefault="005A2EA9">
      <w:pPr>
        <w:pStyle w:val="RedTxt"/>
        <w:jc w:val="both"/>
        <w:rPr>
          <w:sz w:val="20"/>
          <w:szCs w:val="20"/>
        </w:rPr>
      </w:pPr>
    </w:p>
    <w:p w14:paraId="0D3592C1" w14:textId="77777777" w:rsidR="00415D20" w:rsidRDefault="001B3DDF">
      <w:pPr>
        <w:pStyle w:val="RedTxt"/>
        <w:jc w:val="both"/>
        <w:rPr>
          <w:sz w:val="20"/>
          <w:szCs w:val="20"/>
        </w:rPr>
      </w:pPr>
      <w:r>
        <w:rPr>
          <w:sz w:val="20"/>
          <w:szCs w:val="20"/>
        </w:rPr>
        <w:t>- Mémoire technique</w:t>
      </w:r>
      <w:r w:rsidR="00530650">
        <w:rPr>
          <w:sz w:val="20"/>
          <w:szCs w:val="20"/>
        </w:rPr>
        <w:t xml:space="preserve"> contenant les éléments suivants : </w:t>
      </w:r>
    </w:p>
    <w:p w14:paraId="5B4BB37A" w14:textId="77777777" w:rsidR="00530650" w:rsidRPr="004D1C7F" w:rsidRDefault="00530650">
      <w:pPr>
        <w:pStyle w:val="RedTxt"/>
        <w:jc w:val="both"/>
        <w:rPr>
          <w:sz w:val="20"/>
          <w:szCs w:val="20"/>
        </w:rPr>
      </w:pPr>
      <w:r w:rsidRPr="004D1C7F">
        <w:rPr>
          <w:sz w:val="20"/>
          <w:szCs w:val="20"/>
        </w:rPr>
        <w:tab/>
        <w:t>- organisation générale et mode opératoire,</w:t>
      </w:r>
    </w:p>
    <w:p w14:paraId="02314676" w14:textId="77777777" w:rsidR="00530650" w:rsidRPr="004D1C7F" w:rsidRDefault="00530650">
      <w:pPr>
        <w:pStyle w:val="RedTxt"/>
        <w:jc w:val="both"/>
        <w:rPr>
          <w:sz w:val="20"/>
          <w:szCs w:val="20"/>
        </w:rPr>
      </w:pPr>
      <w:r w:rsidRPr="004D1C7F">
        <w:rPr>
          <w:sz w:val="20"/>
          <w:szCs w:val="20"/>
        </w:rPr>
        <w:tab/>
        <w:t>- outils et ressources mobilisées dans le cadre du marché,</w:t>
      </w:r>
    </w:p>
    <w:p w14:paraId="3768C900" w14:textId="77777777" w:rsidR="00530650" w:rsidRPr="004D1C7F" w:rsidRDefault="00530650">
      <w:pPr>
        <w:pStyle w:val="RedTxt"/>
        <w:jc w:val="both"/>
        <w:rPr>
          <w:sz w:val="20"/>
          <w:szCs w:val="20"/>
        </w:rPr>
      </w:pPr>
      <w:r w:rsidRPr="004D1C7F">
        <w:rPr>
          <w:sz w:val="20"/>
          <w:szCs w:val="20"/>
        </w:rPr>
        <w:tab/>
        <w:t>- calendrier prévisionnel / délai d’exécution,</w:t>
      </w:r>
    </w:p>
    <w:p w14:paraId="49F3DE51" w14:textId="77777777" w:rsidR="00530650" w:rsidRPr="004D1C7F" w:rsidRDefault="00530650">
      <w:pPr>
        <w:pStyle w:val="RedTxt"/>
        <w:jc w:val="both"/>
        <w:rPr>
          <w:sz w:val="20"/>
          <w:szCs w:val="20"/>
        </w:rPr>
      </w:pPr>
      <w:r w:rsidRPr="004D1C7F">
        <w:rPr>
          <w:sz w:val="20"/>
          <w:szCs w:val="20"/>
        </w:rPr>
        <w:tab/>
        <w:t>- mode opératoire employé pour chaque type de travaux,</w:t>
      </w:r>
    </w:p>
    <w:p w14:paraId="2BA4A7B0" w14:textId="77777777" w:rsidR="00530650" w:rsidRPr="004D1C7F" w:rsidRDefault="00530650" w:rsidP="00530650">
      <w:pPr>
        <w:pStyle w:val="RedTxt"/>
        <w:ind w:firstLine="708"/>
        <w:jc w:val="both"/>
        <w:rPr>
          <w:sz w:val="20"/>
          <w:szCs w:val="20"/>
        </w:rPr>
      </w:pPr>
      <w:r w:rsidRPr="004D1C7F">
        <w:rPr>
          <w:sz w:val="20"/>
          <w:szCs w:val="20"/>
        </w:rPr>
        <w:t>- santé et sécurité du chantier.</w:t>
      </w:r>
    </w:p>
    <w:p w14:paraId="66C1D1BE" w14:textId="77777777" w:rsidR="00790142" w:rsidRDefault="00790142">
      <w:pPr>
        <w:pStyle w:val="RedTxt"/>
        <w:jc w:val="both"/>
        <w:rPr>
          <w:sz w:val="20"/>
          <w:szCs w:val="20"/>
        </w:rPr>
      </w:pPr>
    </w:p>
    <w:p w14:paraId="349858D1" w14:textId="77777777" w:rsidR="00B563EF" w:rsidRDefault="00B563EF" w:rsidP="00B563EF">
      <w:pPr>
        <w:widowControl/>
        <w:jc w:val="both"/>
      </w:pPr>
      <w:r>
        <w:rPr>
          <w:b/>
          <w:bCs/>
        </w:rPr>
        <w:t xml:space="preserve">Si le candidat remet son offre sur support papier, il joindra obligatoirement un </w:t>
      </w:r>
      <w:proofErr w:type="spellStart"/>
      <w:r>
        <w:rPr>
          <w:b/>
          <w:bCs/>
        </w:rPr>
        <w:t>CDRom</w:t>
      </w:r>
      <w:proofErr w:type="spellEnd"/>
      <w:r>
        <w:rPr>
          <w:b/>
          <w:bCs/>
        </w:rPr>
        <w:t xml:space="preserve"> compilant l’ensemble des éléments constitutifs de son offre, les fichiers devront être compatibles avec les formats </w:t>
      </w:r>
      <w:proofErr w:type="spellStart"/>
      <w:r>
        <w:rPr>
          <w:b/>
          <w:bCs/>
        </w:rPr>
        <w:t>word</w:t>
      </w:r>
      <w:proofErr w:type="spellEnd"/>
      <w:r>
        <w:rPr>
          <w:b/>
          <w:bCs/>
        </w:rPr>
        <w:t xml:space="preserve"> et </w:t>
      </w:r>
      <w:proofErr w:type="spellStart"/>
      <w:r>
        <w:rPr>
          <w:b/>
          <w:bCs/>
        </w:rPr>
        <w:t>excel</w:t>
      </w:r>
      <w:proofErr w:type="spellEnd"/>
      <w:r>
        <w:rPr>
          <w:b/>
          <w:bCs/>
        </w:rPr>
        <w:t>.</w:t>
      </w:r>
    </w:p>
    <w:p w14:paraId="539407E4" w14:textId="77777777" w:rsidR="00B563EF" w:rsidRDefault="00B563EF">
      <w:pPr>
        <w:pStyle w:val="RedTxt"/>
        <w:jc w:val="both"/>
        <w:rPr>
          <w:sz w:val="20"/>
          <w:szCs w:val="20"/>
        </w:rPr>
      </w:pPr>
    </w:p>
    <w:p w14:paraId="70FF97FB" w14:textId="77777777" w:rsidR="00415D20" w:rsidRDefault="001B3DDF">
      <w:pPr>
        <w:pStyle w:val="RedTxt"/>
        <w:jc w:val="both"/>
        <w:rPr>
          <w:sz w:val="20"/>
          <w:szCs w:val="20"/>
        </w:rPr>
      </w:pPr>
      <w:r>
        <w:rPr>
          <w:sz w:val="20"/>
          <w:szCs w:val="20"/>
        </w:rPr>
        <w:t xml:space="preserve">En outre, pour chaque sous-traitant présenté dans l'offre, le candidat devra joindre, en plus de l'annexe : </w:t>
      </w:r>
    </w:p>
    <w:p w14:paraId="18767671" w14:textId="77777777" w:rsidR="00415D20" w:rsidRDefault="001B3DDF">
      <w:pPr>
        <w:pStyle w:val="RedTxt"/>
        <w:jc w:val="both"/>
        <w:rPr>
          <w:sz w:val="20"/>
          <w:szCs w:val="20"/>
        </w:rPr>
      </w:pPr>
      <w:r>
        <w:rPr>
          <w:sz w:val="20"/>
          <w:szCs w:val="20"/>
        </w:rPr>
        <w:t>- Les capacités professionnelles et financières du sous-traitant ;</w:t>
      </w:r>
    </w:p>
    <w:p w14:paraId="13AA8314" w14:textId="77777777" w:rsidR="005A2EA9" w:rsidRDefault="001B3DDF" w:rsidP="005A2EA9">
      <w:pPr>
        <w:widowControl/>
        <w:jc w:val="center"/>
      </w:pPr>
      <w:r>
        <w:t>- Une déclaration du sous-traitant indiquant qu'il ne tombe pas sous le c</w:t>
      </w:r>
      <w:r w:rsidR="005A2EA9">
        <w:t>oup d'une interdiction prévue aux articles 51 et 134 du décret n°2016-360 du 25 mars 2016 relatif aux Marchés Publics.</w:t>
      </w:r>
    </w:p>
    <w:p w14:paraId="0F734852" w14:textId="77777777" w:rsidR="005A2EA9" w:rsidRDefault="005A2EA9" w:rsidP="005A2EA9">
      <w:pPr>
        <w:pStyle w:val="RedTxt"/>
        <w:jc w:val="both"/>
        <w:rPr>
          <w:sz w:val="20"/>
          <w:szCs w:val="20"/>
        </w:rPr>
      </w:pPr>
    </w:p>
    <w:p w14:paraId="54AA3227" w14:textId="77777777" w:rsidR="005A2EA9" w:rsidRDefault="005A2EA9" w:rsidP="005A2EA9">
      <w:pPr>
        <w:pStyle w:val="RedTxt"/>
        <w:jc w:val="both"/>
        <w:rPr>
          <w:sz w:val="20"/>
          <w:szCs w:val="20"/>
        </w:rPr>
      </w:pPr>
      <w:r>
        <w:rPr>
          <w:sz w:val="20"/>
          <w:szCs w:val="20"/>
        </w:rPr>
        <w:t>Conformément à l'article 55-IV du décret n°2016-360 du 25 mars 2016 relatif aux Marchés Publics,  le candidat retenu ne saurait être désigné définitivement comme titulaire du marché qu'à la condition de produire dans un délai imparti par le pouvoir adjudicateur les certificats et attestations prévus à l'article 51 du décret n°2016-360 du 25 mars 2016 relatif aux Marchés Publics ainsi qu'une attestation d'assurance de responsabilité décennale conformément à l'article L.241.1 du code des Assurances lorsque celle-ci est requise conformément à l'article L243-1-1 du même code.</w:t>
      </w:r>
    </w:p>
    <w:p w14:paraId="2052DD22" w14:textId="77777777" w:rsidR="005A2EA9" w:rsidRDefault="005A2EA9" w:rsidP="005A2EA9">
      <w:pPr>
        <w:pStyle w:val="RedTxt"/>
        <w:jc w:val="both"/>
        <w:rPr>
          <w:sz w:val="20"/>
          <w:szCs w:val="20"/>
        </w:rPr>
      </w:pPr>
    </w:p>
    <w:p w14:paraId="25FA2876" w14:textId="77777777" w:rsidR="005A2EA9" w:rsidRDefault="005A2EA9" w:rsidP="005A2EA9">
      <w:pPr>
        <w:pStyle w:val="RedTxt"/>
        <w:jc w:val="both"/>
        <w:rPr>
          <w:sz w:val="20"/>
          <w:szCs w:val="20"/>
        </w:rPr>
      </w:pPr>
      <w:r>
        <w:rPr>
          <w:sz w:val="20"/>
          <w:szCs w:val="20"/>
        </w:rPr>
        <w:lastRenderedPageBreak/>
        <w:t>Les candidats ne sont pas tenus de fournir les documents et renseignements que le pouvoir adjudicateur  peut obtenir directement par le biais d'un système électronique de mise à disposition d'informations, administré par un organisme officiel ou d'un espace de stockage numérique, à condition que le candidat mentionne dans le dossier de candidature toutes les informations nécessaires à la consultation de ce système et que l'accès soit gratuit.</w:t>
      </w:r>
    </w:p>
    <w:p w14:paraId="08EEF8CF" w14:textId="77777777" w:rsidR="005A2EA9" w:rsidRDefault="005A2EA9" w:rsidP="005A2EA9">
      <w:pPr>
        <w:pStyle w:val="RedTxt"/>
        <w:jc w:val="both"/>
        <w:rPr>
          <w:sz w:val="20"/>
          <w:szCs w:val="20"/>
        </w:rPr>
      </w:pPr>
    </w:p>
    <w:p w14:paraId="52CBCAAE" w14:textId="77777777" w:rsidR="005A2EA9" w:rsidRPr="005A2EA9" w:rsidRDefault="005A2EA9" w:rsidP="005A2EA9">
      <w:pPr>
        <w:pStyle w:val="RedTxt"/>
        <w:jc w:val="both"/>
      </w:pPr>
      <w:r>
        <w:rPr>
          <w:sz w:val="20"/>
          <w:szCs w:val="20"/>
        </w:rPr>
        <w:t>Par ailleurs, le pouvoir adjudicateur prévoit que les candidats ne sont pas tenus de fournir les documents et renseignements qui lui ont déjà été transmis dans le cadre d'une précédente consultation et qui demeurent valables.</w:t>
      </w:r>
    </w:p>
    <w:p w14:paraId="6F2B58DD" w14:textId="77777777" w:rsidR="00790142" w:rsidRDefault="00790142">
      <w:pPr>
        <w:pStyle w:val="RedTxt"/>
        <w:jc w:val="both"/>
      </w:pPr>
    </w:p>
    <w:p w14:paraId="6CFD0673" w14:textId="77777777" w:rsidR="00415D20" w:rsidRDefault="00790142">
      <w:pPr>
        <w:pStyle w:val="RedPara"/>
        <w:spacing w:after="120"/>
        <w:ind w:firstLine="709"/>
      </w:pPr>
      <w:r>
        <w:t>5-2</w:t>
      </w:r>
      <w:r w:rsidR="001B3DDF">
        <w:t>-Langue de rédaction des propositions</w:t>
      </w:r>
    </w:p>
    <w:p w14:paraId="41ED66D5" w14:textId="77777777" w:rsidR="00415D20" w:rsidRDefault="001B3DDF">
      <w:pPr>
        <w:pStyle w:val="RedTxt"/>
        <w:jc w:val="both"/>
      </w:pPr>
      <w:r>
        <w:rPr>
          <w:sz w:val="20"/>
          <w:szCs w:val="20"/>
        </w:rPr>
        <w:t>Les propositions doivent être rédigées en langue française.</w:t>
      </w:r>
    </w:p>
    <w:p w14:paraId="4B8ED95D" w14:textId="77777777" w:rsidR="00415D20" w:rsidRDefault="00790142">
      <w:pPr>
        <w:pStyle w:val="RedPara"/>
        <w:spacing w:after="120"/>
        <w:ind w:firstLine="709"/>
      </w:pPr>
      <w:r>
        <w:t>5-3</w:t>
      </w:r>
      <w:r w:rsidR="001B3DDF">
        <w:t>-Unité monétaire</w:t>
      </w:r>
    </w:p>
    <w:p w14:paraId="42359269" w14:textId="77777777" w:rsidR="00415D20" w:rsidRDefault="001B3DDF">
      <w:pPr>
        <w:pStyle w:val="RedTxt"/>
        <w:jc w:val="both"/>
      </w:pPr>
      <w:r>
        <w:rPr>
          <w:sz w:val="20"/>
          <w:szCs w:val="20"/>
        </w:rPr>
        <w:t>Le pouvoir adjudicateur conclura le marché dans l'unité monétaire suivante : euro(s).</w:t>
      </w:r>
    </w:p>
    <w:p w14:paraId="1C3EA6E1" w14:textId="77777777" w:rsidR="001562D1" w:rsidRDefault="00790142" w:rsidP="001562D1">
      <w:pPr>
        <w:pStyle w:val="RedPara"/>
        <w:spacing w:after="120"/>
        <w:ind w:firstLine="709"/>
      </w:pPr>
      <w:r>
        <w:t>5-4</w:t>
      </w:r>
      <w:r w:rsidR="001B3DDF">
        <w:t>-Conditions d'envoi ou de remise des plis</w:t>
      </w:r>
    </w:p>
    <w:p w14:paraId="2A94CC53" w14:textId="065905FB" w:rsidR="001562D1" w:rsidRPr="001562D1" w:rsidRDefault="001562D1" w:rsidP="001562D1">
      <w:pPr>
        <w:widowControl/>
        <w:autoSpaceDE/>
        <w:autoSpaceDN/>
        <w:adjustRightInd/>
        <w:rPr>
          <w:rFonts w:eastAsia="Times New Roman"/>
        </w:rPr>
      </w:pPr>
      <w:r>
        <w:rPr>
          <w:rFonts w:eastAsia="Times New Roman"/>
        </w:rPr>
        <w:t>L</w:t>
      </w:r>
      <w:r w:rsidRPr="001562D1">
        <w:rPr>
          <w:rFonts w:eastAsia="Times New Roman"/>
        </w:rPr>
        <w:t xml:space="preserve">es offres devront être remises avant la date et l’heure suivante : </w:t>
      </w:r>
      <w:r w:rsidR="00643A74">
        <w:rPr>
          <w:rFonts w:eastAsia="Times New Roman"/>
          <w:b/>
        </w:rPr>
        <w:t>30 mars 2020 à 17 heures</w:t>
      </w:r>
      <w:bookmarkStart w:id="1" w:name="_GoBack"/>
      <w:bookmarkEnd w:id="1"/>
    </w:p>
    <w:p w14:paraId="296F43AD" w14:textId="77777777" w:rsidR="00415D20" w:rsidRDefault="001B3DDF">
      <w:pPr>
        <w:pStyle w:val="RedTxt"/>
        <w:jc w:val="both"/>
        <w:rPr>
          <w:sz w:val="20"/>
          <w:szCs w:val="20"/>
        </w:rPr>
      </w:pPr>
      <w:r>
        <w:rPr>
          <w:b/>
          <w:bCs/>
          <w:sz w:val="20"/>
          <w:szCs w:val="20"/>
          <w:u w:val="single"/>
        </w:rPr>
        <w:t>Remise des plis sur support papier :</w:t>
      </w:r>
    </w:p>
    <w:p w14:paraId="2C840E2E" w14:textId="77777777" w:rsidR="00415D20" w:rsidRDefault="00415D20">
      <w:pPr>
        <w:pStyle w:val="RedTxt"/>
        <w:jc w:val="both"/>
        <w:rPr>
          <w:sz w:val="20"/>
          <w:szCs w:val="20"/>
        </w:rPr>
      </w:pPr>
    </w:p>
    <w:p w14:paraId="6120B561" w14:textId="77777777" w:rsidR="00415D20" w:rsidRDefault="001B3DDF">
      <w:pPr>
        <w:pStyle w:val="RedTxt"/>
        <w:jc w:val="both"/>
        <w:rPr>
          <w:sz w:val="20"/>
          <w:szCs w:val="20"/>
        </w:rPr>
      </w:pPr>
      <w:r>
        <w:rPr>
          <w:sz w:val="20"/>
          <w:szCs w:val="20"/>
        </w:rPr>
        <w:t>Les candidats transmettent leur proposition sous pli portant la mention suivante :</w:t>
      </w:r>
    </w:p>
    <w:p w14:paraId="3EDB2CB2" w14:textId="77777777" w:rsidR="00415D20" w:rsidRPr="00273B93" w:rsidRDefault="00415D20">
      <w:pPr>
        <w:pStyle w:val="RedTxt"/>
        <w:jc w:val="both"/>
        <w:rPr>
          <w:color w:val="000000" w:themeColor="text1"/>
          <w:sz w:val="20"/>
          <w:szCs w:val="20"/>
        </w:rPr>
      </w:pPr>
    </w:p>
    <w:p w14:paraId="794E7610" w14:textId="2D45DF57" w:rsidR="00415D20" w:rsidRPr="00273B93" w:rsidRDefault="00C75343">
      <w:pPr>
        <w:pStyle w:val="RedTxt"/>
        <w:jc w:val="both"/>
        <w:rPr>
          <w:color w:val="000000" w:themeColor="text1"/>
          <w:sz w:val="20"/>
          <w:szCs w:val="20"/>
        </w:rPr>
      </w:pPr>
      <w:r w:rsidRPr="00273B93">
        <w:rPr>
          <w:color w:val="000000" w:themeColor="text1"/>
          <w:sz w:val="20"/>
          <w:szCs w:val="20"/>
        </w:rPr>
        <w:t>"</w:t>
      </w:r>
      <w:r w:rsidR="003C164C">
        <w:rPr>
          <w:color w:val="000000" w:themeColor="text1"/>
          <w:sz w:val="20"/>
          <w:szCs w:val="20"/>
        </w:rPr>
        <w:t xml:space="preserve"> Opération </w:t>
      </w:r>
      <w:r w:rsidR="003B05BB">
        <w:rPr>
          <w:color w:val="000000" w:themeColor="text1"/>
          <w:sz w:val="20"/>
          <w:szCs w:val="20"/>
        </w:rPr>
        <w:t>Eglise</w:t>
      </w:r>
      <w:r w:rsidR="00E47AC1">
        <w:rPr>
          <w:color w:val="000000" w:themeColor="text1"/>
          <w:sz w:val="20"/>
          <w:szCs w:val="20"/>
        </w:rPr>
        <w:t xml:space="preserve"> </w:t>
      </w:r>
      <w:r w:rsidR="003C164C">
        <w:rPr>
          <w:color w:val="000000" w:themeColor="text1"/>
          <w:sz w:val="20"/>
          <w:szCs w:val="20"/>
        </w:rPr>
        <w:t xml:space="preserve">– </w:t>
      </w:r>
      <w:r w:rsidR="00E47AC1">
        <w:rPr>
          <w:color w:val="000000" w:themeColor="text1"/>
          <w:sz w:val="20"/>
          <w:szCs w:val="20"/>
        </w:rPr>
        <w:t>RAIZEUX</w:t>
      </w:r>
      <w:r w:rsidR="003C164C">
        <w:rPr>
          <w:color w:val="000000" w:themeColor="text1"/>
          <w:sz w:val="20"/>
          <w:szCs w:val="20"/>
        </w:rPr>
        <w:t xml:space="preserve"> (78125</w:t>
      </w:r>
      <w:r w:rsidR="001B3DDF" w:rsidRPr="00273B93">
        <w:rPr>
          <w:color w:val="000000" w:themeColor="text1"/>
          <w:sz w:val="20"/>
          <w:szCs w:val="20"/>
        </w:rPr>
        <w:t xml:space="preserve">) - </w:t>
      </w:r>
      <w:r w:rsidR="001B3DDF" w:rsidRPr="00273B93">
        <w:rPr>
          <w:b/>
          <w:color w:val="000000" w:themeColor="text1"/>
          <w:sz w:val="20"/>
          <w:szCs w:val="20"/>
        </w:rPr>
        <w:t>NE PAS OUVRIR</w:t>
      </w:r>
      <w:r w:rsidR="001B3DDF" w:rsidRPr="00273B93">
        <w:rPr>
          <w:color w:val="000000" w:themeColor="text1"/>
          <w:sz w:val="20"/>
          <w:szCs w:val="20"/>
        </w:rPr>
        <w:t xml:space="preserve"> </w:t>
      </w:r>
      <w:r w:rsidR="00B563EF" w:rsidRPr="00273B93">
        <w:rPr>
          <w:color w:val="000000" w:themeColor="text1"/>
          <w:sz w:val="20"/>
          <w:szCs w:val="20"/>
        </w:rPr>
        <w:t xml:space="preserve">LOT N°… </w:t>
      </w:r>
      <w:r w:rsidR="001B3DDF" w:rsidRPr="00273B93">
        <w:rPr>
          <w:color w:val="000000" w:themeColor="text1"/>
          <w:sz w:val="20"/>
          <w:szCs w:val="20"/>
        </w:rPr>
        <w:t>".</w:t>
      </w:r>
    </w:p>
    <w:p w14:paraId="52143601" w14:textId="77777777" w:rsidR="00415D20" w:rsidRDefault="00415D20">
      <w:pPr>
        <w:pStyle w:val="RedTxt"/>
        <w:jc w:val="both"/>
        <w:rPr>
          <w:sz w:val="20"/>
          <w:szCs w:val="20"/>
        </w:rPr>
      </w:pPr>
    </w:p>
    <w:p w14:paraId="6C68974E" w14:textId="77777777" w:rsidR="00415D20" w:rsidRDefault="001B3DDF">
      <w:pPr>
        <w:pStyle w:val="RedTxt"/>
        <w:jc w:val="both"/>
        <w:rPr>
          <w:sz w:val="20"/>
          <w:szCs w:val="20"/>
        </w:rPr>
      </w:pPr>
      <w:r>
        <w:rPr>
          <w:sz w:val="20"/>
          <w:szCs w:val="20"/>
        </w:rPr>
        <w:t>L'enveloppe contient les justificatifs de candidature ainsi que les éléments relatifs à l'offre.</w:t>
      </w:r>
    </w:p>
    <w:p w14:paraId="03818E77" w14:textId="77777777" w:rsidR="00415D20" w:rsidRDefault="00415D20">
      <w:pPr>
        <w:pStyle w:val="RedTxt"/>
        <w:jc w:val="both"/>
        <w:rPr>
          <w:sz w:val="20"/>
          <w:szCs w:val="20"/>
        </w:rPr>
      </w:pPr>
    </w:p>
    <w:p w14:paraId="1C4319EA" w14:textId="77777777" w:rsidR="00415D20" w:rsidRDefault="001B3DDF">
      <w:pPr>
        <w:pStyle w:val="RedTxt"/>
        <w:jc w:val="both"/>
        <w:rPr>
          <w:sz w:val="20"/>
          <w:szCs w:val="20"/>
        </w:rPr>
      </w:pPr>
      <w:r>
        <w:rPr>
          <w:sz w:val="20"/>
          <w:szCs w:val="20"/>
        </w:rPr>
        <w:t>Les</w:t>
      </w:r>
      <w:r w:rsidR="005930EB">
        <w:rPr>
          <w:sz w:val="20"/>
          <w:szCs w:val="20"/>
        </w:rPr>
        <w:t xml:space="preserve"> plis devront </w:t>
      </w:r>
      <w:r>
        <w:rPr>
          <w:sz w:val="20"/>
          <w:szCs w:val="20"/>
        </w:rPr>
        <w:t>être remis contre récépissé</w:t>
      </w:r>
      <w:r w:rsidR="004612EC" w:rsidRPr="004612EC">
        <w:rPr>
          <w:sz w:val="20"/>
          <w:szCs w:val="20"/>
        </w:rPr>
        <w:t xml:space="preserve"> ou, s'ils sont envoyés par la poste, devront l'être</w:t>
      </w:r>
      <w:r w:rsidR="00873C1A">
        <w:rPr>
          <w:sz w:val="20"/>
          <w:szCs w:val="20"/>
        </w:rPr>
        <w:t xml:space="preserve"> </w:t>
      </w:r>
      <w:r w:rsidR="00873C1A" w:rsidRPr="00873C1A">
        <w:rPr>
          <w:sz w:val="20"/>
          <w:szCs w:val="20"/>
        </w:rPr>
        <w:t>par pli recommandé avec avis de réception postal</w:t>
      </w:r>
      <w:r>
        <w:rPr>
          <w:sz w:val="20"/>
          <w:szCs w:val="20"/>
        </w:rPr>
        <w:t xml:space="preserve"> à l'adresse suivante :</w:t>
      </w:r>
    </w:p>
    <w:p w14:paraId="5545DFB4" w14:textId="77777777" w:rsidR="00415D20" w:rsidRDefault="00415D20">
      <w:pPr>
        <w:pStyle w:val="RedTxt"/>
        <w:jc w:val="both"/>
        <w:rPr>
          <w:sz w:val="20"/>
          <w:szCs w:val="20"/>
        </w:rPr>
      </w:pPr>
    </w:p>
    <w:p w14:paraId="74A3D0FB" w14:textId="77777777" w:rsidR="004612EC" w:rsidRPr="00C75343" w:rsidRDefault="003C164C" w:rsidP="004612EC">
      <w:pPr>
        <w:pStyle w:val="RedTxt"/>
        <w:rPr>
          <w:b/>
          <w:color w:val="000000" w:themeColor="text1"/>
        </w:rPr>
      </w:pPr>
      <w:r>
        <w:rPr>
          <w:b/>
          <w:color w:val="000000" w:themeColor="text1"/>
        </w:rPr>
        <w:t>Commune d</w:t>
      </w:r>
      <w:r w:rsidR="00E47AC1">
        <w:rPr>
          <w:b/>
          <w:color w:val="000000" w:themeColor="text1"/>
        </w:rPr>
        <w:t>e RAIZEUX</w:t>
      </w:r>
    </w:p>
    <w:p w14:paraId="4B953028" w14:textId="77777777" w:rsidR="004612EC" w:rsidRPr="00C75343" w:rsidRDefault="003C164C" w:rsidP="004612EC">
      <w:pPr>
        <w:pStyle w:val="RedTxt"/>
        <w:rPr>
          <w:color w:val="000000" w:themeColor="text1"/>
        </w:rPr>
      </w:pPr>
      <w:r>
        <w:rPr>
          <w:color w:val="000000" w:themeColor="text1"/>
        </w:rPr>
        <w:t>Mairie d</w:t>
      </w:r>
      <w:r w:rsidR="00E47AC1">
        <w:rPr>
          <w:color w:val="000000" w:themeColor="text1"/>
        </w:rPr>
        <w:t>e RAIZEUX</w:t>
      </w:r>
    </w:p>
    <w:p w14:paraId="35655BDA" w14:textId="77777777" w:rsidR="004612EC" w:rsidRPr="00C75343" w:rsidRDefault="00E47AC1" w:rsidP="004612EC">
      <w:pPr>
        <w:pStyle w:val="RedTxt"/>
        <w:rPr>
          <w:color w:val="000000" w:themeColor="text1"/>
        </w:rPr>
      </w:pPr>
      <w:r>
        <w:rPr>
          <w:color w:val="000000" w:themeColor="text1"/>
        </w:rPr>
        <w:t>2, route des ponts</w:t>
      </w:r>
    </w:p>
    <w:p w14:paraId="0C819490" w14:textId="77777777" w:rsidR="00415D20" w:rsidRPr="00C75343" w:rsidRDefault="003C164C">
      <w:pPr>
        <w:pStyle w:val="RedTxt"/>
        <w:jc w:val="both"/>
        <w:rPr>
          <w:color w:val="000000" w:themeColor="text1"/>
          <w:sz w:val="20"/>
          <w:szCs w:val="20"/>
        </w:rPr>
      </w:pPr>
      <w:r>
        <w:rPr>
          <w:color w:val="000000" w:themeColor="text1"/>
          <w:sz w:val="20"/>
          <w:szCs w:val="20"/>
        </w:rPr>
        <w:t>78125</w:t>
      </w:r>
      <w:r w:rsidR="00E47AC1">
        <w:rPr>
          <w:color w:val="000000" w:themeColor="text1"/>
          <w:sz w:val="20"/>
          <w:szCs w:val="20"/>
        </w:rPr>
        <w:t xml:space="preserve"> RAIZEUX</w:t>
      </w:r>
    </w:p>
    <w:p w14:paraId="622D0E09" w14:textId="77777777" w:rsidR="00415D20" w:rsidRDefault="00415D20">
      <w:pPr>
        <w:pStyle w:val="RedTxt"/>
        <w:jc w:val="both"/>
        <w:rPr>
          <w:sz w:val="20"/>
          <w:szCs w:val="20"/>
        </w:rPr>
      </w:pPr>
    </w:p>
    <w:p w14:paraId="7580522C" w14:textId="77777777" w:rsidR="00415D20" w:rsidRDefault="001B3DDF">
      <w:pPr>
        <w:pStyle w:val="RedTxt"/>
        <w:jc w:val="both"/>
        <w:rPr>
          <w:sz w:val="20"/>
          <w:szCs w:val="20"/>
        </w:rPr>
      </w:pPr>
      <w:r>
        <w:rPr>
          <w:sz w:val="20"/>
          <w:szCs w:val="20"/>
        </w:rPr>
        <w:t>Les dossiers qui parviendraient après la date et l'heure limites fixées au présent règlement de la consultation ne seront pas ouverts.</w:t>
      </w:r>
    </w:p>
    <w:p w14:paraId="56DD5932" w14:textId="77777777" w:rsidR="00415D20" w:rsidRDefault="00415D20">
      <w:pPr>
        <w:pStyle w:val="RedTxt"/>
        <w:jc w:val="both"/>
        <w:rPr>
          <w:sz w:val="20"/>
          <w:szCs w:val="20"/>
        </w:rPr>
      </w:pPr>
    </w:p>
    <w:p w14:paraId="04B3ACB5" w14:textId="77777777" w:rsidR="00415D20" w:rsidRDefault="001B3DDF">
      <w:pPr>
        <w:pStyle w:val="RedTxt"/>
        <w:jc w:val="both"/>
        <w:rPr>
          <w:sz w:val="20"/>
          <w:szCs w:val="20"/>
        </w:rPr>
      </w:pPr>
      <w:r>
        <w:rPr>
          <w:b/>
          <w:bCs/>
          <w:sz w:val="20"/>
          <w:szCs w:val="20"/>
          <w:u w:val="single"/>
        </w:rPr>
        <w:t>Remise des plis par voie électronique :</w:t>
      </w:r>
    </w:p>
    <w:p w14:paraId="7BF5518D" w14:textId="77777777" w:rsidR="00415D20" w:rsidRDefault="00415D20">
      <w:pPr>
        <w:pStyle w:val="RedTxt"/>
        <w:jc w:val="both"/>
        <w:rPr>
          <w:sz w:val="20"/>
          <w:szCs w:val="20"/>
        </w:rPr>
      </w:pPr>
    </w:p>
    <w:p w14:paraId="0D46781A" w14:textId="77777777" w:rsidR="00415D20" w:rsidRDefault="0024301C">
      <w:pPr>
        <w:pStyle w:val="RedTxt"/>
        <w:jc w:val="both"/>
        <w:rPr>
          <w:sz w:val="20"/>
          <w:szCs w:val="20"/>
        </w:rPr>
      </w:pPr>
      <w:r>
        <w:rPr>
          <w:sz w:val="20"/>
          <w:szCs w:val="20"/>
        </w:rPr>
        <w:t>L</w:t>
      </w:r>
      <w:r w:rsidR="001B3DDF">
        <w:rPr>
          <w:sz w:val="20"/>
          <w:szCs w:val="20"/>
        </w:rPr>
        <w:t>e pouvoir adjudicateur autorise la transmission des candidatures et des offres des entreprises par voie électronique à l'adresse suivante :</w:t>
      </w:r>
    </w:p>
    <w:p w14:paraId="637A23E2" w14:textId="77777777" w:rsidR="00E47AC1" w:rsidRDefault="00E47AC1">
      <w:pPr>
        <w:pStyle w:val="RedTxt"/>
        <w:jc w:val="both"/>
      </w:pPr>
    </w:p>
    <w:p w14:paraId="5FBF75E8" w14:textId="77777777" w:rsidR="003B2238" w:rsidRDefault="00574D99">
      <w:pPr>
        <w:pStyle w:val="RedTxt"/>
        <w:jc w:val="both"/>
        <w:rPr>
          <w:color w:val="000000" w:themeColor="text1"/>
          <w:sz w:val="20"/>
          <w:szCs w:val="20"/>
        </w:rPr>
      </w:pPr>
      <w:hyperlink r:id="rId7" w:history="1">
        <w:r w:rsidR="003B2238" w:rsidRPr="005F4A45">
          <w:rPr>
            <w:rStyle w:val="Lienhypertexte"/>
            <w:sz w:val="20"/>
            <w:szCs w:val="20"/>
          </w:rPr>
          <w:t>https://www.achatpublic.com</w:t>
        </w:r>
      </w:hyperlink>
      <w:r w:rsidR="003B2238" w:rsidRPr="00273B93">
        <w:rPr>
          <w:color w:val="000000" w:themeColor="text1"/>
          <w:sz w:val="20"/>
          <w:szCs w:val="20"/>
        </w:rPr>
        <w:t>.</w:t>
      </w:r>
    </w:p>
    <w:p w14:paraId="4F1B3932" w14:textId="77777777" w:rsidR="00415D20" w:rsidRDefault="001B3DDF">
      <w:pPr>
        <w:pStyle w:val="RedTxt"/>
        <w:jc w:val="both"/>
        <w:rPr>
          <w:sz w:val="20"/>
          <w:szCs w:val="20"/>
        </w:rPr>
      </w:pPr>
      <w:r>
        <w:rPr>
          <w:sz w:val="20"/>
          <w:szCs w:val="20"/>
        </w:rPr>
        <w:t xml:space="preserve">Les propositions doivent être transmises dans des conditions qui permettent d'authentifier la signature du candidat selon les exigences posées aux articles 1316 à 1316-4 du Code civil. La transmission doit pouvoir faire l'objet d'une date certaine de réception et d'un accusé de réception électronique. Les plis transmis par voie électronique sont horodatés. </w:t>
      </w:r>
    </w:p>
    <w:p w14:paraId="626E0CED" w14:textId="77777777" w:rsidR="00415D20" w:rsidRDefault="00415D20">
      <w:pPr>
        <w:pStyle w:val="RedTxt"/>
        <w:jc w:val="both"/>
        <w:rPr>
          <w:sz w:val="20"/>
          <w:szCs w:val="20"/>
        </w:rPr>
      </w:pPr>
    </w:p>
    <w:p w14:paraId="32F2D12A" w14:textId="77777777" w:rsidR="002105AC" w:rsidRDefault="002105AC" w:rsidP="002105AC">
      <w:pPr>
        <w:widowControl/>
        <w:jc w:val="both"/>
      </w:pPr>
      <w:r>
        <w:t>L'attention des candidats est attirée sur les dispositions de l'arrêté du 15 juin 2012 relatif à la signature électronique qui impose l'utilisation de nouveaux certificats électroniques de niveau ** (2) minimum conformes au RGS (référentiel général de sécurité) ou garantissant un niveau équivalent de sécurité.</w:t>
      </w:r>
    </w:p>
    <w:p w14:paraId="284F15C5" w14:textId="77777777" w:rsidR="002105AC" w:rsidRDefault="002105AC">
      <w:pPr>
        <w:pStyle w:val="RedTxt"/>
        <w:jc w:val="both"/>
        <w:rPr>
          <w:sz w:val="20"/>
          <w:szCs w:val="20"/>
        </w:rPr>
      </w:pPr>
    </w:p>
    <w:p w14:paraId="7D02F46A" w14:textId="77777777" w:rsidR="00415D20" w:rsidRDefault="001B3DDF">
      <w:pPr>
        <w:pStyle w:val="RedTxt"/>
        <w:jc w:val="both"/>
        <w:rPr>
          <w:sz w:val="20"/>
          <w:szCs w:val="20"/>
        </w:rPr>
      </w:pPr>
      <w:r>
        <w:rPr>
          <w:sz w:val="20"/>
          <w:szCs w:val="20"/>
        </w:rPr>
        <w:t xml:space="preserve">La signature est au format </w:t>
      </w:r>
      <w:proofErr w:type="spellStart"/>
      <w:r>
        <w:rPr>
          <w:sz w:val="20"/>
          <w:szCs w:val="20"/>
        </w:rPr>
        <w:t>XAdES</w:t>
      </w:r>
      <w:proofErr w:type="spellEnd"/>
      <w:r>
        <w:rPr>
          <w:sz w:val="20"/>
          <w:szCs w:val="20"/>
        </w:rPr>
        <w:t xml:space="preserve">, </w:t>
      </w:r>
      <w:proofErr w:type="spellStart"/>
      <w:r>
        <w:rPr>
          <w:sz w:val="20"/>
          <w:szCs w:val="20"/>
        </w:rPr>
        <w:t>CAdES</w:t>
      </w:r>
      <w:proofErr w:type="spellEnd"/>
      <w:r>
        <w:rPr>
          <w:sz w:val="20"/>
          <w:szCs w:val="20"/>
        </w:rPr>
        <w:t xml:space="preserve">, </w:t>
      </w:r>
      <w:proofErr w:type="spellStart"/>
      <w:proofErr w:type="gramStart"/>
      <w:r>
        <w:rPr>
          <w:sz w:val="20"/>
          <w:szCs w:val="20"/>
        </w:rPr>
        <w:t>PAdES</w:t>
      </w:r>
      <w:proofErr w:type="spellEnd"/>
      <w:r>
        <w:rPr>
          <w:sz w:val="20"/>
          <w:szCs w:val="20"/>
        </w:rPr>
        <w:t xml:space="preserve"> .</w:t>
      </w:r>
      <w:proofErr w:type="gramEnd"/>
    </w:p>
    <w:p w14:paraId="75677C24" w14:textId="77777777" w:rsidR="00415D20" w:rsidRDefault="00415D20">
      <w:pPr>
        <w:pStyle w:val="RedTxt"/>
        <w:jc w:val="both"/>
        <w:rPr>
          <w:sz w:val="20"/>
          <w:szCs w:val="20"/>
        </w:rPr>
      </w:pPr>
    </w:p>
    <w:p w14:paraId="1E12782D" w14:textId="77777777" w:rsidR="00A26BEB" w:rsidRDefault="001B3DDF" w:rsidP="00A26BEB">
      <w:pPr>
        <w:pStyle w:val="RedTxt"/>
        <w:jc w:val="both"/>
      </w:pPr>
      <w:r>
        <w:rPr>
          <w:sz w:val="20"/>
          <w:szCs w:val="20"/>
        </w:rPr>
        <w:t xml:space="preserve">Les entreprises peuvent transmettre une copie de sauvegarde de leurs plis remis par voie électronique dans les conditions prévues à </w:t>
      </w:r>
      <w:r w:rsidR="00A26BEB">
        <w:rPr>
          <w:sz w:val="20"/>
          <w:szCs w:val="20"/>
        </w:rPr>
        <w:t>l'arrêté du 14 décembre 2009 selon l'article 41 III du décret n°2016-360 relatif aux marchés publics.</w:t>
      </w:r>
    </w:p>
    <w:p w14:paraId="45991D01" w14:textId="77777777" w:rsidR="00790142" w:rsidRDefault="00790142">
      <w:pPr>
        <w:pStyle w:val="RedTxt"/>
        <w:jc w:val="both"/>
      </w:pPr>
    </w:p>
    <w:p w14:paraId="1DFA9438" w14:textId="77777777" w:rsidR="00415D20" w:rsidRDefault="001B3DDF">
      <w:pPr>
        <w:pStyle w:val="RedTitre2"/>
        <w:pBdr>
          <w:top w:val="none" w:sz="0" w:space="0" w:color="auto"/>
          <w:left w:val="none" w:sz="0" w:space="0" w:color="auto"/>
          <w:bottom w:val="none" w:sz="0" w:space="0" w:color="auto"/>
          <w:right w:val="none" w:sz="0" w:space="0" w:color="auto"/>
        </w:pBdr>
        <w:shd w:val="pct5" w:color="auto" w:fill="auto"/>
        <w:spacing w:after="120"/>
      </w:pPr>
      <w:r>
        <w:lastRenderedPageBreak/>
        <w:t>Article  6 - Jugement des propositions</w:t>
      </w:r>
    </w:p>
    <w:p w14:paraId="3114EE8E" w14:textId="77777777" w:rsidR="00415D20" w:rsidRDefault="001B3DDF">
      <w:pPr>
        <w:pStyle w:val="RedTxt"/>
        <w:jc w:val="both"/>
        <w:rPr>
          <w:sz w:val="20"/>
          <w:szCs w:val="20"/>
        </w:rPr>
      </w:pPr>
      <w:r>
        <w:rPr>
          <w:sz w:val="20"/>
          <w:szCs w:val="20"/>
        </w:rPr>
        <w:t xml:space="preserve">Le jugement des propositions sera effectué dans les conditions prévues </w:t>
      </w:r>
      <w:r w:rsidR="002D4DD6">
        <w:rPr>
          <w:sz w:val="20"/>
          <w:szCs w:val="20"/>
        </w:rPr>
        <w:t xml:space="preserve">à l'article 62 du décret du 25 mars 2016 relatif aux marchés publics </w:t>
      </w:r>
      <w:r>
        <w:rPr>
          <w:sz w:val="20"/>
          <w:szCs w:val="20"/>
        </w:rPr>
        <w:t>au moyen des critères suivants :</w:t>
      </w:r>
    </w:p>
    <w:p w14:paraId="0B1078A2" w14:textId="77777777" w:rsidR="00415D20" w:rsidRPr="00DF345C" w:rsidRDefault="00415D20">
      <w:pPr>
        <w:pStyle w:val="RedTxt"/>
        <w:jc w:val="both"/>
        <w:rPr>
          <w:color w:val="000000" w:themeColor="text1"/>
        </w:rPr>
      </w:pPr>
    </w:p>
    <w:p w14:paraId="11F0976D" w14:textId="77777777" w:rsidR="00415D20" w:rsidRPr="00DF345C" w:rsidRDefault="001B3DDF">
      <w:pPr>
        <w:pStyle w:val="RedTxt"/>
        <w:jc w:val="both"/>
        <w:rPr>
          <w:color w:val="000000" w:themeColor="text1"/>
          <w:sz w:val="20"/>
          <w:szCs w:val="20"/>
        </w:rPr>
      </w:pPr>
      <w:r w:rsidRPr="00DF345C">
        <w:rPr>
          <w:b/>
          <w:bCs/>
          <w:color w:val="000000" w:themeColor="text1"/>
          <w:sz w:val="20"/>
          <w:szCs w:val="20"/>
        </w:rPr>
        <w:t>Critères de sélection des candidatures :</w:t>
      </w:r>
    </w:p>
    <w:p w14:paraId="55EDE964" w14:textId="77777777" w:rsidR="00415D20" w:rsidRPr="00DF345C" w:rsidRDefault="001B3DDF">
      <w:pPr>
        <w:pStyle w:val="RedTxt"/>
        <w:jc w:val="both"/>
        <w:rPr>
          <w:color w:val="000000" w:themeColor="text1"/>
          <w:sz w:val="20"/>
          <w:szCs w:val="20"/>
        </w:rPr>
      </w:pPr>
      <w:r w:rsidRPr="00DF345C">
        <w:rPr>
          <w:color w:val="000000" w:themeColor="text1"/>
          <w:sz w:val="20"/>
          <w:szCs w:val="20"/>
        </w:rPr>
        <w:t xml:space="preserve">    1. Garanties et capacités techniques et financières présentées par le candidat</w:t>
      </w:r>
    </w:p>
    <w:p w14:paraId="231F9565" w14:textId="77777777" w:rsidR="00415D20" w:rsidRPr="00873C1A" w:rsidRDefault="00415D20">
      <w:pPr>
        <w:pStyle w:val="RedTxt"/>
        <w:jc w:val="both"/>
        <w:rPr>
          <w:color w:val="FF0000"/>
          <w:highlight w:val="yellow"/>
        </w:rPr>
      </w:pPr>
    </w:p>
    <w:p w14:paraId="0DB30508" w14:textId="77777777" w:rsidR="00415D20" w:rsidRDefault="001B3DDF">
      <w:pPr>
        <w:pStyle w:val="RedTxt"/>
        <w:jc w:val="both"/>
        <w:rPr>
          <w:b/>
          <w:bCs/>
          <w:color w:val="000000" w:themeColor="text1"/>
          <w:sz w:val="20"/>
          <w:szCs w:val="20"/>
        </w:rPr>
      </w:pPr>
      <w:r w:rsidRPr="004A3825">
        <w:rPr>
          <w:b/>
          <w:bCs/>
          <w:color w:val="000000" w:themeColor="text1"/>
          <w:sz w:val="20"/>
          <w:szCs w:val="20"/>
        </w:rPr>
        <w:t>Critères de jugement des offres :</w:t>
      </w:r>
    </w:p>
    <w:p w14:paraId="27D4C65F" w14:textId="77777777" w:rsidR="000845EC" w:rsidRPr="004A3825" w:rsidRDefault="000845EC">
      <w:pPr>
        <w:pStyle w:val="RedTxt"/>
        <w:jc w:val="both"/>
        <w:rPr>
          <w:b/>
          <w:bCs/>
          <w:color w:val="000000" w:themeColor="text1"/>
          <w:sz w:val="20"/>
          <w:szCs w:val="20"/>
        </w:rPr>
      </w:pPr>
    </w:p>
    <w:p w14:paraId="28CAE269" w14:textId="77777777" w:rsidR="005930EB" w:rsidRPr="004A3825" w:rsidRDefault="002D4DD6" w:rsidP="005930EB">
      <w:pPr>
        <w:pStyle w:val="RedTxt"/>
        <w:jc w:val="both"/>
        <w:rPr>
          <w:color w:val="000000" w:themeColor="text1"/>
          <w:sz w:val="20"/>
          <w:szCs w:val="20"/>
        </w:rPr>
      </w:pPr>
      <w:r>
        <w:rPr>
          <w:color w:val="000000" w:themeColor="text1"/>
          <w:sz w:val="20"/>
          <w:szCs w:val="20"/>
        </w:rPr>
        <w:t>L</w:t>
      </w:r>
      <w:r w:rsidR="005930EB" w:rsidRPr="004A3825">
        <w:rPr>
          <w:color w:val="000000" w:themeColor="text1"/>
          <w:sz w:val="20"/>
          <w:szCs w:val="20"/>
        </w:rPr>
        <w:t>es critères de l’offre économiquement la plu</w:t>
      </w:r>
      <w:r w:rsidR="000845EC">
        <w:rPr>
          <w:color w:val="000000" w:themeColor="text1"/>
          <w:sz w:val="20"/>
          <w:szCs w:val="20"/>
        </w:rPr>
        <w:t xml:space="preserve">s avantageuse sont les suivants </w:t>
      </w:r>
      <w:r w:rsidR="005930EB" w:rsidRPr="004A3825">
        <w:rPr>
          <w:color w:val="000000" w:themeColor="text1"/>
          <w:sz w:val="20"/>
          <w:szCs w:val="20"/>
        </w:rPr>
        <w:t>:</w:t>
      </w:r>
    </w:p>
    <w:p w14:paraId="0A5C9CF5" w14:textId="77777777" w:rsidR="005930EB" w:rsidRPr="004A3825" w:rsidRDefault="005930EB" w:rsidP="005930EB">
      <w:pPr>
        <w:pStyle w:val="RedTxt"/>
        <w:jc w:val="both"/>
        <w:rPr>
          <w:color w:val="000000" w:themeColor="text1"/>
          <w:sz w:val="20"/>
          <w:szCs w:val="20"/>
        </w:rPr>
      </w:pPr>
    </w:p>
    <w:p w14:paraId="1DFE0912" w14:textId="77777777" w:rsidR="00415D20" w:rsidRPr="004A3825" w:rsidRDefault="001B3DDF" w:rsidP="005930EB">
      <w:pPr>
        <w:pStyle w:val="RedTxt"/>
        <w:numPr>
          <w:ilvl w:val="0"/>
          <w:numId w:val="2"/>
        </w:numPr>
        <w:jc w:val="both"/>
        <w:rPr>
          <w:color w:val="000000" w:themeColor="text1"/>
          <w:sz w:val="20"/>
          <w:szCs w:val="20"/>
        </w:rPr>
      </w:pPr>
      <w:r w:rsidRPr="004A3825">
        <w:rPr>
          <w:color w:val="000000" w:themeColor="text1"/>
          <w:sz w:val="20"/>
          <w:szCs w:val="20"/>
        </w:rPr>
        <w:t>Va</w:t>
      </w:r>
      <w:r w:rsidR="000845EC">
        <w:rPr>
          <w:color w:val="000000" w:themeColor="text1"/>
          <w:sz w:val="20"/>
          <w:szCs w:val="20"/>
        </w:rPr>
        <w:t xml:space="preserve">leur technique </w:t>
      </w:r>
      <w:r w:rsidR="000E5507">
        <w:rPr>
          <w:color w:val="000000" w:themeColor="text1"/>
          <w:sz w:val="20"/>
          <w:szCs w:val="20"/>
        </w:rPr>
        <w:t>(pondération</w:t>
      </w:r>
      <w:r w:rsidR="000845EC">
        <w:rPr>
          <w:color w:val="000000" w:themeColor="text1"/>
          <w:sz w:val="20"/>
          <w:szCs w:val="20"/>
        </w:rPr>
        <w:t xml:space="preserve"> : </w:t>
      </w:r>
      <w:r w:rsidR="00E47AC1">
        <w:rPr>
          <w:color w:val="000000" w:themeColor="text1"/>
          <w:sz w:val="20"/>
          <w:szCs w:val="20"/>
        </w:rPr>
        <w:t>30</w:t>
      </w:r>
      <w:r w:rsidR="000E5507" w:rsidRPr="004A3825">
        <w:rPr>
          <w:color w:val="000000" w:themeColor="text1"/>
          <w:sz w:val="20"/>
          <w:szCs w:val="20"/>
        </w:rPr>
        <w:t>)</w:t>
      </w:r>
    </w:p>
    <w:p w14:paraId="35AEB581" w14:textId="77777777" w:rsidR="005930EB" w:rsidRDefault="005930EB" w:rsidP="005930EB">
      <w:pPr>
        <w:pStyle w:val="RedTxt"/>
        <w:jc w:val="both"/>
        <w:rPr>
          <w:color w:val="000000" w:themeColor="text1"/>
          <w:sz w:val="20"/>
          <w:szCs w:val="20"/>
        </w:rPr>
      </w:pPr>
      <w:r w:rsidRPr="004A3825">
        <w:rPr>
          <w:color w:val="000000" w:themeColor="text1"/>
          <w:sz w:val="20"/>
          <w:szCs w:val="20"/>
        </w:rPr>
        <w:t>Notée sur la base des éléments fournis dans le mémoire technique.</w:t>
      </w:r>
    </w:p>
    <w:p w14:paraId="0A75F806" w14:textId="77777777" w:rsidR="003C164C" w:rsidRDefault="003C164C" w:rsidP="005930EB">
      <w:pPr>
        <w:pStyle w:val="RedTxt"/>
        <w:jc w:val="both"/>
        <w:rPr>
          <w:color w:val="000000" w:themeColor="text1"/>
          <w:sz w:val="20"/>
          <w:szCs w:val="20"/>
        </w:rPr>
      </w:pPr>
    </w:p>
    <w:p w14:paraId="6AB8AFB4" w14:textId="77777777" w:rsidR="003C164C" w:rsidRPr="004A3825" w:rsidRDefault="003C164C" w:rsidP="003C164C">
      <w:pPr>
        <w:pStyle w:val="RedTxt"/>
        <w:numPr>
          <w:ilvl w:val="0"/>
          <w:numId w:val="2"/>
        </w:numPr>
        <w:jc w:val="both"/>
        <w:rPr>
          <w:color w:val="000000" w:themeColor="text1"/>
          <w:sz w:val="20"/>
          <w:szCs w:val="20"/>
        </w:rPr>
      </w:pPr>
      <w:r>
        <w:rPr>
          <w:color w:val="000000" w:themeColor="text1"/>
          <w:sz w:val="20"/>
          <w:szCs w:val="20"/>
        </w:rPr>
        <w:t xml:space="preserve">Prix des prestations (pondération : </w:t>
      </w:r>
      <w:r w:rsidR="00E47AC1">
        <w:rPr>
          <w:color w:val="000000" w:themeColor="text1"/>
          <w:sz w:val="20"/>
          <w:szCs w:val="20"/>
        </w:rPr>
        <w:t>50</w:t>
      </w:r>
      <w:r w:rsidRPr="004A3825">
        <w:rPr>
          <w:color w:val="000000" w:themeColor="text1"/>
          <w:sz w:val="20"/>
          <w:szCs w:val="20"/>
        </w:rPr>
        <w:t>)</w:t>
      </w:r>
    </w:p>
    <w:p w14:paraId="4A398F11" w14:textId="77777777" w:rsidR="003C164C" w:rsidRDefault="003C164C" w:rsidP="003C164C">
      <w:pPr>
        <w:pStyle w:val="RedTxt"/>
        <w:jc w:val="both"/>
        <w:rPr>
          <w:color w:val="000000" w:themeColor="text1"/>
          <w:sz w:val="20"/>
          <w:szCs w:val="20"/>
        </w:rPr>
      </w:pPr>
    </w:p>
    <w:p w14:paraId="1D3250A0" w14:textId="77777777" w:rsidR="003C164C" w:rsidRPr="003C164C" w:rsidRDefault="003C164C" w:rsidP="003C164C">
      <w:pPr>
        <w:pStyle w:val="RedTxt"/>
        <w:ind w:firstLine="708"/>
        <w:jc w:val="both"/>
        <w:rPr>
          <w:color w:val="000000" w:themeColor="text1"/>
          <w:sz w:val="16"/>
          <w:szCs w:val="16"/>
        </w:rPr>
      </w:pPr>
      <w:r w:rsidRPr="003C164C">
        <w:rPr>
          <w:b/>
          <w:bCs/>
          <w:sz w:val="16"/>
          <w:szCs w:val="16"/>
        </w:rPr>
        <w:t xml:space="preserve">La note maximale </w:t>
      </w:r>
      <w:r w:rsidRPr="003C164C">
        <w:rPr>
          <w:sz w:val="16"/>
          <w:szCs w:val="16"/>
        </w:rPr>
        <w:t xml:space="preserve">sera attribuée à l’offre « moins-disant ». </w:t>
      </w:r>
    </w:p>
    <w:p w14:paraId="2E4BCE9C" w14:textId="77777777" w:rsidR="003C164C" w:rsidRPr="003C164C" w:rsidRDefault="003C164C" w:rsidP="003C164C">
      <w:pPr>
        <w:pStyle w:val="NormalWeb"/>
        <w:spacing w:after="0"/>
        <w:ind w:right="-1559" w:firstLine="708"/>
        <w:rPr>
          <w:rFonts w:cs="Arial"/>
          <w:sz w:val="16"/>
          <w:szCs w:val="16"/>
        </w:rPr>
      </w:pPr>
      <w:r w:rsidRPr="003C164C">
        <w:rPr>
          <w:rFonts w:ascii="Arial" w:hAnsi="Arial" w:cs="Arial"/>
          <w:sz w:val="16"/>
          <w:szCs w:val="16"/>
        </w:rPr>
        <w:t>Les autres offres seront notées proportionnellement à cette meilleure note selon la formule suivante :</w:t>
      </w:r>
    </w:p>
    <w:p w14:paraId="2D421143" w14:textId="77777777" w:rsidR="003C164C" w:rsidRPr="003C164C" w:rsidRDefault="003C164C" w:rsidP="003C164C">
      <w:pPr>
        <w:pStyle w:val="Texte1"/>
        <w:rPr>
          <w:sz w:val="16"/>
          <w:szCs w:val="16"/>
          <w:lang w:val="fr-FR"/>
        </w:rPr>
      </w:pPr>
    </w:p>
    <w:p w14:paraId="5A9D01F8" w14:textId="77777777" w:rsidR="003C164C" w:rsidRPr="003C164C" w:rsidRDefault="003C164C" w:rsidP="003C164C">
      <w:pPr>
        <w:ind w:firstLine="708"/>
        <w:jc w:val="both"/>
        <w:rPr>
          <w:sz w:val="16"/>
          <w:szCs w:val="16"/>
        </w:rPr>
      </w:pPr>
      <w:r w:rsidRPr="003C164C">
        <w:rPr>
          <w:sz w:val="16"/>
          <w:szCs w:val="16"/>
          <w:shd w:val="clear" w:color="auto" w:fill="FFFFFF"/>
        </w:rPr>
        <w:t>Nombre de points = 10 x (</w:t>
      </w:r>
      <w:r w:rsidR="005A3A40">
        <w:rPr>
          <w:sz w:val="16"/>
          <w:szCs w:val="16"/>
        </w:rPr>
        <w:t>Mo/M</w:t>
      </w:r>
      <w:r w:rsidR="005A3A40">
        <w:rPr>
          <w:sz w:val="16"/>
          <w:szCs w:val="16"/>
          <w:shd w:val="clear" w:color="auto" w:fill="FFFFFF"/>
        </w:rPr>
        <w:t>) x 0.3</w:t>
      </w:r>
      <w:r w:rsidRPr="003C164C">
        <w:rPr>
          <w:sz w:val="16"/>
          <w:szCs w:val="16"/>
          <w:shd w:val="clear" w:color="auto" w:fill="FFFFFF"/>
        </w:rPr>
        <w:t>0</w:t>
      </w:r>
    </w:p>
    <w:p w14:paraId="54615DA3" w14:textId="77777777" w:rsidR="003C164C" w:rsidRPr="003C164C" w:rsidRDefault="003C164C" w:rsidP="003C164C">
      <w:pPr>
        <w:pStyle w:val="NormalWeb"/>
        <w:spacing w:after="0"/>
        <w:ind w:right="-1559" w:firstLine="708"/>
        <w:rPr>
          <w:rFonts w:ascii="Arial" w:hAnsi="Arial" w:cs="Arial"/>
          <w:sz w:val="16"/>
          <w:szCs w:val="16"/>
        </w:rPr>
      </w:pPr>
      <w:r w:rsidRPr="003C164C">
        <w:rPr>
          <w:rFonts w:ascii="Arial" w:hAnsi="Arial" w:cs="Arial"/>
          <w:sz w:val="16"/>
          <w:szCs w:val="16"/>
        </w:rPr>
        <w:t>Mo = offre « moins-disant ».</w:t>
      </w:r>
    </w:p>
    <w:p w14:paraId="36520830" w14:textId="77777777" w:rsidR="003C164C" w:rsidRPr="003C164C" w:rsidRDefault="003C164C" w:rsidP="003C164C">
      <w:pPr>
        <w:pStyle w:val="NormalWeb"/>
        <w:spacing w:after="0"/>
        <w:ind w:right="-1559" w:firstLine="708"/>
        <w:rPr>
          <w:rFonts w:ascii="Arial" w:hAnsi="Arial" w:cs="Arial"/>
          <w:sz w:val="16"/>
          <w:szCs w:val="16"/>
        </w:rPr>
      </w:pPr>
      <w:r w:rsidRPr="003C164C">
        <w:rPr>
          <w:rFonts w:ascii="Arial" w:hAnsi="Arial" w:cs="Arial"/>
          <w:sz w:val="16"/>
          <w:szCs w:val="16"/>
        </w:rPr>
        <w:t>M = offre concurrente</w:t>
      </w:r>
    </w:p>
    <w:p w14:paraId="0410E857" w14:textId="77777777" w:rsidR="003C164C" w:rsidRPr="004A3825" w:rsidRDefault="003C164C" w:rsidP="005930EB">
      <w:pPr>
        <w:pStyle w:val="RedTxt"/>
        <w:jc w:val="both"/>
        <w:rPr>
          <w:color w:val="000000" w:themeColor="text1"/>
          <w:sz w:val="20"/>
          <w:szCs w:val="20"/>
        </w:rPr>
      </w:pPr>
    </w:p>
    <w:p w14:paraId="17AE0F59" w14:textId="77777777" w:rsidR="00415D20" w:rsidRDefault="003C164C" w:rsidP="003C164C">
      <w:pPr>
        <w:pStyle w:val="RedTxt"/>
        <w:numPr>
          <w:ilvl w:val="0"/>
          <w:numId w:val="2"/>
        </w:numPr>
        <w:jc w:val="both"/>
        <w:rPr>
          <w:color w:val="000000" w:themeColor="text1"/>
          <w:sz w:val="20"/>
          <w:szCs w:val="20"/>
        </w:rPr>
      </w:pPr>
      <w:r>
        <w:rPr>
          <w:color w:val="000000" w:themeColor="text1"/>
          <w:sz w:val="20"/>
          <w:szCs w:val="20"/>
        </w:rPr>
        <w:t>Délais</w:t>
      </w:r>
      <w:r w:rsidR="001B3DDF" w:rsidRPr="004A3825">
        <w:rPr>
          <w:color w:val="000000" w:themeColor="text1"/>
          <w:sz w:val="20"/>
          <w:szCs w:val="20"/>
        </w:rPr>
        <w:t xml:space="preserve"> </w:t>
      </w:r>
      <w:r w:rsidR="000E5507" w:rsidRPr="004A3825">
        <w:rPr>
          <w:color w:val="000000" w:themeColor="text1"/>
          <w:sz w:val="20"/>
          <w:szCs w:val="20"/>
        </w:rPr>
        <w:t>(pondération</w:t>
      </w:r>
      <w:r w:rsidR="001B3DDF" w:rsidRPr="004A3825">
        <w:rPr>
          <w:color w:val="000000" w:themeColor="text1"/>
          <w:sz w:val="20"/>
          <w:szCs w:val="20"/>
        </w:rPr>
        <w:t xml:space="preserve"> : </w:t>
      </w:r>
      <w:r w:rsidR="00E47AC1">
        <w:rPr>
          <w:color w:val="000000" w:themeColor="text1"/>
          <w:sz w:val="20"/>
          <w:szCs w:val="20"/>
        </w:rPr>
        <w:t>20</w:t>
      </w:r>
      <w:r w:rsidR="000E5507" w:rsidRPr="004A3825">
        <w:rPr>
          <w:color w:val="000000" w:themeColor="text1"/>
          <w:sz w:val="20"/>
          <w:szCs w:val="20"/>
        </w:rPr>
        <w:t>)</w:t>
      </w:r>
    </w:p>
    <w:p w14:paraId="0B8F9696" w14:textId="77777777" w:rsidR="005A3A40" w:rsidRDefault="005A3A40" w:rsidP="005A3A40">
      <w:pPr>
        <w:pStyle w:val="RedTxt"/>
        <w:ind w:left="720"/>
        <w:jc w:val="both"/>
        <w:rPr>
          <w:color w:val="000000" w:themeColor="text1"/>
          <w:sz w:val="20"/>
          <w:szCs w:val="20"/>
        </w:rPr>
      </w:pPr>
    </w:p>
    <w:p w14:paraId="1E90B663" w14:textId="77777777" w:rsidR="002D5D5B" w:rsidRDefault="002D5D5B" w:rsidP="003C164C">
      <w:pPr>
        <w:pStyle w:val="RedTxt"/>
        <w:jc w:val="both"/>
        <w:rPr>
          <w:sz w:val="20"/>
          <w:szCs w:val="20"/>
        </w:rPr>
      </w:pPr>
      <w:r>
        <w:rPr>
          <w:sz w:val="20"/>
          <w:szCs w:val="20"/>
        </w:rPr>
        <w:t xml:space="preserve">Le critère prix sera jugé de la façon suivante : </w:t>
      </w:r>
    </w:p>
    <w:p w14:paraId="30B1A8CA" w14:textId="77777777" w:rsidR="003C164C" w:rsidRDefault="003C164C" w:rsidP="003C164C">
      <w:pPr>
        <w:pStyle w:val="RedTxt"/>
        <w:jc w:val="both"/>
        <w:rPr>
          <w:sz w:val="20"/>
          <w:szCs w:val="20"/>
        </w:rPr>
      </w:pPr>
    </w:p>
    <w:p w14:paraId="2AA52965" w14:textId="77777777" w:rsidR="002D5D5B" w:rsidRPr="002D5D5B" w:rsidRDefault="002D5D5B" w:rsidP="002D5D5B">
      <w:pPr>
        <w:pStyle w:val="RedTxt"/>
        <w:jc w:val="both"/>
      </w:pPr>
      <w:r>
        <w:rPr>
          <w:sz w:val="20"/>
          <w:szCs w:val="20"/>
        </w:rPr>
        <w:t xml:space="preserve">Conformément à l'article 60 du décret n°2016-360 du 25 mars 2016 relatif aux  marchés publics, toute offre paraissant anormalement basse fera l'objet d'une demande écrite de précisions assortie d'un délai impératif de réponse. Après vérification des justificatifs fournis par le candidat concerné, l'offre sera soit maintenue dans l'analyse des offres, soit rejetée par décision motivée. </w:t>
      </w:r>
    </w:p>
    <w:p w14:paraId="1D31E3A2" w14:textId="77777777" w:rsidR="00415D20" w:rsidRDefault="001B3DDF">
      <w:pPr>
        <w:pStyle w:val="RedTitre2"/>
        <w:pBdr>
          <w:top w:val="none" w:sz="0" w:space="0" w:color="auto"/>
          <w:left w:val="none" w:sz="0" w:space="0" w:color="auto"/>
          <w:bottom w:val="none" w:sz="0" w:space="0" w:color="auto"/>
          <w:right w:val="none" w:sz="0" w:space="0" w:color="auto"/>
        </w:pBdr>
        <w:shd w:val="pct5" w:color="auto" w:fill="auto"/>
        <w:spacing w:after="120"/>
      </w:pPr>
      <w:r>
        <w:t>Article  7 - Renseignements complémentaires</w:t>
      </w:r>
    </w:p>
    <w:p w14:paraId="1DF66C76" w14:textId="77777777" w:rsidR="00415D20" w:rsidRDefault="001B3DDF">
      <w:pPr>
        <w:pStyle w:val="RedTxt"/>
        <w:jc w:val="both"/>
        <w:rPr>
          <w:sz w:val="20"/>
          <w:szCs w:val="20"/>
        </w:rPr>
      </w:pPr>
      <w:r>
        <w:rPr>
          <w:sz w:val="20"/>
          <w:szCs w:val="20"/>
        </w:rPr>
        <w:t>Pour obtenir tous renseignements complémentaires qui leur seraient nécessaires au cours de leur étude, les candidats devron</w:t>
      </w:r>
      <w:r w:rsidR="00273B93">
        <w:rPr>
          <w:sz w:val="20"/>
          <w:szCs w:val="20"/>
        </w:rPr>
        <w:t>t faire parvenir au plus</w:t>
      </w:r>
      <w:r w:rsidR="002D5D5B">
        <w:rPr>
          <w:sz w:val="20"/>
          <w:szCs w:val="20"/>
        </w:rPr>
        <w:t xml:space="preserve"> tard 5</w:t>
      </w:r>
      <w:r>
        <w:rPr>
          <w:sz w:val="20"/>
          <w:szCs w:val="20"/>
        </w:rPr>
        <w:t xml:space="preserve"> jours avant la date limite de remise des offres, une demande écrite à :</w:t>
      </w:r>
    </w:p>
    <w:p w14:paraId="11AB9D99" w14:textId="77777777" w:rsidR="00415D20" w:rsidRDefault="00415D20">
      <w:pPr>
        <w:pStyle w:val="RedTxt"/>
        <w:jc w:val="both"/>
        <w:rPr>
          <w:sz w:val="20"/>
          <w:szCs w:val="20"/>
        </w:rPr>
      </w:pPr>
    </w:p>
    <w:p w14:paraId="7FC9A8EE" w14:textId="77777777" w:rsidR="00415D20" w:rsidRDefault="001B3DDF">
      <w:pPr>
        <w:pStyle w:val="RedTxt"/>
        <w:jc w:val="both"/>
        <w:rPr>
          <w:sz w:val="20"/>
          <w:szCs w:val="20"/>
        </w:rPr>
      </w:pPr>
      <w:r>
        <w:rPr>
          <w:b/>
          <w:bCs/>
          <w:sz w:val="20"/>
          <w:szCs w:val="20"/>
          <w:u w:val="single"/>
        </w:rPr>
        <w:t>1) Renseignements administratifs</w:t>
      </w:r>
    </w:p>
    <w:p w14:paraId="7662B50F" w14:textId="77777777" w:rsidR="00415D20" w:rsidRDefault="00415D20">
      <w:pPr>
        <w:pStyle w:val="RedTxt"/>
        <w:jc w:val="both"/>
        <w:rPr>
          <w:sz w:val="20"/>
          <w:szCs w:val="20"/>
        </w:rPr>
      </w:pPr>
    </w:p>
    <w:p w14:paraId="43C8F15E" w14:textId="77777777" w:rsidR="00415D20" w:rsidRDefault="001B3DDF">
      <w:pPr>
        <w:pStyle w:val="RedTxt"/>
        <w:jc w:val="both"/>
        <w:rPr>
          <w:sz w:val="20"/>
          <w:szCs w:val="20"/>
        </w:rPr>
      </w:pPr>
      <w:r>
        <w:rPr>
          <w:sz w:val="20"/>
          <w:szCs w:val="20"/>
        </w:rPr>
        <w:t>C</w:t>
      </w:r>
      <w:r w:rsidR="00EB6A9C">
        <w:rPr>
          <w:sz w:val="20"/>
          <w:szCs w:val="20"/>
        </w:rPr>
        <w:t xml:space="preserve">orrespondant : </w:t>
      </w:r>
    </w:p>
    <w:p w14:paraId="0EE072CD" w14:textId="77777777" w:rsidR="00873C1A" w:rsidRPr="00873C1A" w:rsidRDefault="003C164C" w:rsidP="00873C1A">
      <w:pPr>
        <w:pStyle w:val="RedTxt"/>
        <w:jc w:val="both"/>
        <w:rPr>
          <w:b/>
          <w:sz w:val="20"/>
          <w:szCs w:val="20"/>
        </w:rPr>
      </w:pPr>
      <w:r>
        <w:rPr>
          <w:b/>
          <w:sz w:val="20"/>
          <w:szCs w:val="20"/>
        </w:rPr>
        <w:t xml:space="preserve">Commune </w:t>
      </w:r>
      <w:r w:rsidR="00E47AC1">
        <w:rPr>
          <w:b/>
          <w:sz w:val="20"/>
          <w:szCs w:val="20"/>
        </w:rPr>
        <w:t>de RAIZEUX</w:t>
      </w:r>
    </w:p>
    <w:p w14:paraId="53A0D92B" w14:textId="77777777" w:rsidR="00873C1A" w:rsidRPr="00873C1A" w:rsidRDefault="003C164C" w:rsidP="00873C1A">
      <w:pPr>
        <w:pStyle w:val="RedTxt"/>
        <w:jc w:val="both"/>
      </w:pPr>
      <w:r>
        <w:t>Mairie d</w:t>
      </w:r>
      <w:r w:rsidR="00E47AC1">
        <w:t>e RAIZEUX</w:t>
      </w:r>
    </w:p>
    <w:p w14:paraId="5CB83763" w14:textId="77777777" w:rsidR="00873C1A" w:rsidRPr="00873C1A" w:rsidRDefault="00E47AC1" w:rsidP="00873C1A">
      <w:pPr>
        <w:pStyle w:val="RedTxt"/>
        <w:jc w:val="both"/>
      </w:pPr>
      <w:r>
        <w:t>2, route des Ponts</w:t>
      </w:r>
    </w:p>
    <w:p w14:paraId="2231B8F8" w14:textId="77777777" w:rsidR="00415D20" w:rsidRDefault="003C164C" w:rsidP="00873C1A">
      <w:pPr>
        <w:pStyle w:val="RedTxt"/>
        <w:jc w:val="both"/>
        <w:rPr>
          <w:sz w:val="20"/>
          <w:szCs w:val="20"/>
        </w:rPr>
      </w:pPr>
      <w:r>
        <w:rPr>
          <w:sz w:val="20"/>
          <w:szCs w:val="20"/>
        </w:rPr>
        <w:t xml:space="preserve">78125  </w:t>
      </w:r>
      <w:r w:rsidR="00E47AC1">
        <w:rPr>
          <w:sz w:val="20"/>
          <w:szCs w:val="20"/>
        </w:rPr>
        <w:t>RAIZEUX</w:t>
      </w:r>
    </w:p>
    <w:p w14:paraId="6891BA10" w14:textId="77777777" w:rsidR="00415D20" w:rsidRPr="00873C1A" w:rsidRDefault="00415D20">
      <w:pPr>
        <w:pStyle w:val="RedTxt"/>
        <w:jc w:val="both"/>
        <w:rPr>
          <w:color w:val="FF0000"/>
          <w:sz w:val="20"/>
          <w:szCs w:val="20"/>
        </w:rPr>
      </w:pPr>
    </w:p>
    <w:p w14:paraId="399BEBF4" w14:textId="77777777" w:rsidR="00415D20" w:rsidRDefault="005324A1">
      <w:pPr>
        <w:pStyle w:val="RedTxt"/>
        <w:jc w:val="both"/>
        <w:rPr>
          <w:color w:val="FF0000"/>
          <w:sz w:val="20"/>
          <w:szCs w:val="20"/>
        </w:rPr>
      </w:pPr>
      <w:r>
        <w:rPr>
          <w:sz w:val="20"/>
          <w:szCs w:val="20"/>
        </w:rPr>
        <w:t xml:space="preserve">Courriel </w:t>
      </w:r>
      <w:r w:rsidR="00873C1A">
        <w:rPr>
          <w:sz w:val="20"/>
          <w:szCs w:val="20"/>
        </w:rPr>
        <w:t xml:space="preserve">: </w:t>
      </w:r>
      <w:hyperlink r:id="rId8" w:history="1">
        <w:r w:rsidR="003C164C" w:rsidRPr="00C60ABA">
          <w:rPr>
            <w:rStyle w:val="Lienhypertexte"/>
            <w:sz w:val="20"/>
            <w:szCs w:val="20"/>
          </w:rPr>
          <w:t>mairie</w:t>
        </w:r>
        <w:r w:rsidR="00E47AC1">
          <w:rPr>
            <w:rStyle w:val="Lienhypertexte"/>
            <w:sz w:val="20"/>
            <w:szCs w:val="20"/>
          </w:rPr>
          <w:t>-de</w:t>
        </w:r>
        <w:r w:rsidR="003C164C" w:rsidRPr="00C60ABA">
          <w:rPr>
            <w:rStyle w:val="Lienhypertexte"/>
            <w:sz w:val="20"/>
            <w:szCs w:val="20"/>
          </w:rPr>
          <w:t>-</w:t>
        </w:r>
        <w:r w:rsidR="00E47AC1">
          <w:rPr>
            <w:rStyle w:val="Lienhypertexte"/>
            <w:sz w:val="20"/>
            <w:szCs w:val="20"/>
          </w:rPr>
          <w:t>raizeux</w:t>
        </w:r>
      </w:hyperlink>
      <w:r w:rsidR="00E47AC1">
        <w:rPr>
          <w:rStyle w:val="Lienhypertexte"/>
          <w:sz w:val="20"/>
          <w:szCs w:val="20"/>
        </w:rPr>
        <w:t>@wanadoo.fr</w:t>
      </w:r>
    </w:p>
    <w:p w14:paraId="2DB7B7F3" w14:textId="77777777" w:rsidR="00273B93" w:rsidRDefault="00273B93" w:rsidP="00273B93">
      <w:pPr>
        <w:pStyle w:val="RedTxt"/>
        <w:jc w:val="both"/>
        <w:rPr>
          <w:sz w:val="20"/>
          <w:szCs w:val="20"/>
        </w:rPr>
      </w:pPr>
    </w:p>
    <w:p w14:paraId="7C18A39D" w14:textId="77777777" w:rsidR="007351D1" w:rsidRDefault="007351D1" w:rsidP="007351D1">
      <w:pPr>
        <w:pStyle w:val="RedTxt"/>
        <w:jc w:val="both"/>
        <w:rPr>
          <w:sz w:val="20"/>
          <w:szCs w:val="20"/>
        </w:rPr>
      </w:pPr>
      <w:r>
        <w:rPr>
          <w:b/>
          <w:bCs/>
          <w:sz w:val="20"/>
          <w:szCs w:val="20"/>
          <w:u w:val="single"/>
        </w:rPr>
        <w:t>1) Renseignements techniques</w:t>
      </w:r>
    </w:p>
    <w:p w14:paraId="5849C308" w14:textId="77777777" w:rsidR="007351D1" w:rsidRDefault="007351D1" w:rsidP="007351D1">
      <w:pPr>
        <w:pStyle w:val="RedTxt"/>
        <w:jc w:val="both"/>
        <w:rPr>
          <w:sz w:val="20"/>
          <w:szCs w:val="20"/>
        </w:rPr>
      </w:pPr>
    </w:p>
    <w:p w14:paraId="20CBF3A2" w14:textId="77777777" w:rsidR="007351D1" w:rsidRDefault="007351D1" w:rsidP="007351D1">
      <w:pPr>
        <w:pStyle w:val="RedTxt"/>
        <w:jc w:val="both"/>
        <w:rPr>
          <w:sz w:val="20"/>
          <w:szCs w:val="20"/>
        </w:rPr>
      </w:pPr>
      <w:r>
        <w:rPr>
          <w:sz w:val="20"/>
          <w:szCs w:val="20"/>
        </w:rPr>
        <w:t xml:space="preserve">Correspondant : </w:t>
      </w:r>
    </w:p>
    <w:p w14:paraId="4B4E4CA4" w14:textId="7E8EB78A" w:rsidR="007351D1" w:rsidRDefault="003B05BB" w:rsidP="007351D1">
      <w:pPr>
        <w:pStyle w:val="RedTxt"/>
        <w:jc w:val="both"/>
        <w:rPr>
          <w:b/>
          <w:sz w:val="20"/>
          <w:szCs w:val="20"/>
        </w:rPr>
      </w:pPr>
      <w:r>
        <w:rPr>
          <w:b/>
          <w:sz w:val="20"/>
          <w:szCs w:val="20"/>
        </w:rPr>
        <w:t>LA VILLA AIP</w:t>
      </w:r>
    </w:p>
    <w:p w14:paraId="44243673" w14:textId="7C919CB2" w:rsidR="003B05BB" w:rsidRDefault="003B05BB" w:rsidP="007351D1">
      <w:pPr>
        <w:pStyle w:val="RedTxt"/>
        <w:jc w:val="both"/>
        <w:rPr>
          <w:b/>
          <w:sz w:val="20"/>
          <w:szCs w:val="20"/>
        </w:rPr>
      </w:pPr>
      <w:r>
        <w:rPr>
          <w:b/>
          <w:sz w:val="20"/>
          <w:szCs w:val="20"/>
        </w:rPr>
        <w:t>Monsieur Laurent POUYES</w:t>
      </w:r>
    </w:p>
    <w:p w14:paraId="15DF11AA" w14:textId="7EEFF059" w:rsidR="007351D1" w:rsidRPr="003B05BB" w:rsidRDefault="003B05BB" w:rsidP="007351D1">
      <w:pPr>
        <w:pStyle w:val="RedTxt"/>
        <w:jc w:val="both"/>
        <w:rPr>
          <w:b/>
          <w:sz w:val="20"/>
          <w:szCs w:val="20"/>
        </w:rPr>
      </w:pPr>
      <w:r>
        <w:rPr>
          <w:b/>
          <w:sz w:val="20"/>
          <w:szCs w:val="20"/>
        </w:rPr>
        <w:t>Architecte du Patrimoine - DPLG</w:t>
      </w:r>
    </w:p>
    <w:p w14:paraId="29B55152" w14:textId="77777777" w:rsidR="007351D1" w:rsidRPr="00873C1A" w:rsidRDefault="007351D1" w:rsidP="007351D1">
      <w:pPr>
        <w:pStyle w:val="RedTxt"/>
        <w:jc w:val="both"/>
      </w:pPr>
      <w:r>
        <w:t>18 rue de Penthièvre</w:t>
      </w:r>
    </w:p>
    <w:p w14:paraId="2BFD70DC" w14:textId="77777777" w:rsidR="007351D1" w:rsidRDefault="007351D1" w:rsidP="007351D1">
      <w:pPr>
        <w:pStyle w:val="RedTxt"/>
        <w:jc w:val="both"/>
        <w:rPr>
          <w:sz w:val="20"/>
          <w:szCs w:val="20"/>
        </w:rPr>
      </w:pPr>
      <w:r>
        <w:rPr>
          <w:sz w:val="20"/>
          <w:szCs w:val="20"/>
        </w:rPr>
        <w:t>78120 RAMBOUILLET</w:t>
      </w:r>
    </w:p>
    <w:p w14:paraId="34DF78FF" w14:textId="77777777" w:rsidR="007351D1" w:rsidRPr="00873C1A" w:rsidRDefault="007351D1" w:rsidP="007351D1">
      <w:pPr>
        <w:pStyle w:val="RedTxt"/>
        <w:jc w:val="both"/>
        <w:rPr>
          <w:color w:val="FF0000"/>
          <w:sz w:val="20"/>
          <w:szCs w:val="20"/>
        </w:rPr>
      </w:pPr>
    </w:p>
    <w:p w14:paraId="7C3196A4" w14:textId="77777777" w:rsidR="007351D1" w:rsidRDefault="007351D1" w:rsidP="007351D1">
      <w:pPr>
        <w:pStyle w:val="RedTxt"/>
        <w:jc w:val="both"/>
        <w:rPr>
          <w:color w:val="FF0000"/>
          <w:sz w:val="20"/>
          <w:szCs w:val="20"/>
        </w:rPr>
      </w:pPr>
      <w:r>
        <w:rPr>
          <w:sz w:val="20"/>
          <w:szCs w:val="20"/>
        </w:rPr>
        <w:t xml:space="preserve">Courriel : </w:t>
      </w:r>
      <w:r w:rsidR="00D267C9">
        <w:rPr>
          <w:rStyle w:val="Lienhypertexte"/>
          <w:sz w:val="20"/>
          <w:szCs w:val="20"/>
        </w:rPr>
        <w:t>lavilla@lavilla-aip.net</w:t>
      </w:r>
    </w:p>
    <w:p w14:paraId="156D00C6" w14:textId="77777777" w:rsidR="007351D1" w:rsidRDefault="007351D1" w:rsidP="007351D1">
      <w:pPr>
        <w:pStyle w:val="RedTxt"/>
        <w:jc w:val="both"/>
        <w:rPr>
          <w:sz w:val="20"/>
          <w:szCs w:val="20"/>
        </w:rPr>
      </w:pPr>
    </w:p>
    <w:p w14:paraId="11C374B0" w14:textId="77777777" w:rsidR="00273B93" w:rsidRDefault="00273B93" w:rsidP="00273B93">
      <w:pPr>
        <w:pStyle w:val="RedTxt"/>
        <w:jc w:val="both"/>
        <w:rPr>
          <w:b/>
          <w:sz w:val="20"/>
          <w:szCs w:val="20"/>
          <w:u w:val="single"/>
        </w:rPr>
      </w:pPr>
      <w:r>
        <w:rPr>
          <w:b/>
          <w:sz w:val="20"/>
          <w:szCs w:val="20"/>
          <w:u w:val="single"/>
        </w:rPr>
        <w:t>2)</w:t>
      </w:r>
      <w:r w:rsidRPr="00273B93">
        <w:rPr>
          <w:b/>
          <w:sz w:val="20"/>
          <w:szCs w:val="20"/>
          <w:u w:val="single"/>
        </w:rPr>
        <w:t xml:space="preserve"> Visites</w:t>
      </w:r>
      <w:r w:rsidR="005C2178">
        <w:rPr>
          <w:b/>
          <w:sz w:val="20"/>
          <w:szCs w:val="20"/>
          <w:u w:val="single"/>
        </w:rPr>
        <w:t xml:space="preserve"> sur site</w:t>
      </w:r>
      <w:r w:rsidRPr="00273B93">
        <w:rPr>
          <w:b/>
          <w:sz w:val="20"/>
          <w:szCs w:val="20"/>
          <w:u w:val="single"/>
        </w:rPr>
        <w:t xml:space="preserve"> </w:t>
      </w:r>
    </w:p>
    <w:p w14:paraId="126045BA" w14:textId="77777777" w:rsidR="00273B93" w:rsidRPr="00273B93" w:rsidRDefault="00273B93" w:rsidP="00273B93">
      <w:pPr>
        <w:pStyle w:val="RedTxt"/>
        <w:jc w:val="both"/>
        <w:rPr>
          <w:b/>
          <w:sz w:val="20"/>
          <w:szCs w:val="20"/>
          <w:u w:val="single"/>
        </w:rPr>
      </w:pPr>
    </w:p>
    <w:p w14:paraId="125FB67B" w14:textId="77777777" w:rsidR="00273B93" w:rsidRDefault="00273B93">
      <w:pPr>
        <w:pStyle w:val="RedTxt"/>
        <w:jc w:val="both"/>
        <w:rPr>
          <w:sz w:val="20"/>
          <w:szCs w:val="20"/>
        </w:rPr>
      </w:pPr>
      <w:r w:rsidRPr="00273B93">
        <w:rPr>
          <w:sz w:val="20"/>
          <w:szCs w:val="20"/>
        </w:rPr>
        <w:t>Il est fortement recommandé aux candidats de visiter les lieux pour évaluer de leur configuration et de l’importance des travaux, et ne pourront arguer d’une erreur due à la méconnaissance du site. Le titulaire est réputé avoir pris connaissance des lieux et de tous les éléments afférents à l'exécution des travaux.</w:t>
      </w:r>
    </w:p>
    <w:p w14:paraId="7CE85237" w14:textId="77777777" w:rsidR="005C2178" w:rsidRDefault="005C2178" w:rsidP="005C2178">
      <w:pPr>
        <w:pStyle w:val="RedTxt"/>
        <w:jc w:val="both"/>
      </w:pPr>
    </w:p>
    <w:p w14:paraId="77A6F765" w14:textId="77777777" w:rsidR="005C2178" w:rsidRDefault="005C2178" w:rsidP="005C2178">
      <w:pPr>
        <w:pStyle w:val="RedTxt"/>
        <w:jc w:val="both"/>
      </w:pPr>
      <w:r w:rsidRPr="005C2178">
        <w:t>Pour se rendre sur les lieux, le candidat devra, au</w:t>
      </w:r>
      <w:r>
        <w:t xml:space="preserve"> </w:t>
      </w:r>
      <w:r w:rsidRPr="005C2178">
        <w:t xml:space="preserve">préalable, </w:t>
      </w:r>
      <w:r w:rsidR="00863845">
        <w:t>en informer par téléphone le secrétariat de la mairie.</w:t>
      </w:r>
    </w:p>
    <w:p w14:paraId="5B6DE1CA" w14:textId="77777777" w:rsidR="005C2178" w:rsidRPr="005C2178" w:rsidRDefault="005C2178" w:rsidP="005C2178">
      <w:pPr>
        <w:pStyle w:val="RedTxt"/>
        <w:jc w:val="both"/>
      </w:pPr>
    </w:p>
    <w:p w14:paraId="217BE537" w14:textId="77777777" w:rsidR="00273B93" w:rsidRDefault="0089198A">
      <w:pPr>
        <w:pStyle w:val="RedTxt"/>
        <w:jc w:val="both"/>
        <w:rPr>
          <w:sz w:val="20"/>
          <w:szCs w:val="20"/>
        </w:rPr>
      </w:pPr>
      <w:r>
        <w:rPr>
          <w:sz w:val="20"/>
          <w:szCs w:val="20"/>
        </w:rPr>
        <w:t xml:space="preserve">Tel : </w:t>
      </w:r>
      <w:r w:rsidR="00E47AC1">
        <w:rPr>
          <w:sz w:val="20"/>
          <w:szCs w:val="20"/>
        </w:rPr>
        <w:t>01.34.83.56.06</w:t>
      </w:r>
    </w:p>
    <w:p w14:paraId="291538DD" w14:textId="77777777" w:rsidR="00273B93" w:rsidRPr="007C7F1A" w:rsidRDefault="00273B93">
      <w:pPr>
        <w:pStyle w:val="RedTxt"/>
        <w:jc w:val="both"/>
        <w:rPr>
          <w:color w:val="00B0F0"/>
          <w:sz w:val="20"/>
          <w:szCs w:val="20"/>
        </w:rPr>
      </w:pPr>
      <w:r>
        <w:rPr>
          <w:sz w:val="20"/>
          <w:szCs w:val="20"/>
        </w:rPr>
        <w:t xml:space="preserve">Courriel : </w:t>
      </w:r>
      <w:hyperlink r:id="rId9" w:history="1">
        <w:r w:rsidR="00E47AC1" w:rsidRPr="00C60ABA">
          <w:rPr>
            <w:rStyle w:val="Lienhypertexte"/>
            <w:sz w:val="20"/>
            <w:szCs w:val="20"/>
          </w:rPr>
          <w:t>mairie</w:t>
        </w:r>
        <w:r w:rsidR="00E47AC1">
          <w:rPr>
            <w:rStyle w:val="Lienhypertexte"/>
            <w:sz w:val="20"/>
            <w:szCs w:val="20"/>
          </w:rPr>
          <w:t>-de</w:t>
        </w:r>
        <w:r w:rsidR="00E47AC1" w:rsidRPr="00C60ABA">
          <w:rPr>
            <w:rStyle w:val="Lienhypertexte"/>
            <w:sz w:val="20"/>
            <w:szCs w:val="20"/>
          </w:rPr>
          <w:t>-</w:t>
        </w:r>
        <w:r w:rsidR="00E47AC1">
          <w:rPr>
            <w:rStyle w:val="Lienhypertexte"/>
            <w:sz w:val="20"/>
            <w:szCs w:val="20"/>
          </w:rPr>
          <w:t>raizeux</w:t>
        </w:r>
      </w:hyperlink>
      <w:r w:rsidR="00E47AC1">
        <w:rPr>
          <w:rStyle w:val="Lienhypertexte"/>
          <w:sz w:val="20"/>
          <w:szCs w:val="20"/>
        </w:rPr>
        <w:t>@wanadoo.fr</w:t>
      </w:r>
    </w:p>
    <w:p w14:paraId="2E332D82" w14:textId="77777777" w:rsidR="00273B93" w:rsidRPr="007C7F1A" w:rsidRDefault="00273B93">
      <w:pPr>
        <w:pStyle w:val="RedTxt"/>
        <w:jc w:val="both"/>
        <w:rPr>
          <w:sz w:val="20"/>
          <w:szCs w:val="20"/>
          <w:u w:val="single"/>
        </w:rPr>
      </w:pPr>
    </w:p>
    <w:p w14:paraId="7C65A90B" w14:textId="77777777" w:rsidR="00415D20" w:rsidRDefault="00273B93">
      <w:pPr>
        <w:pStyle w:val="RedTxt"/>
        <w:jc w:val="both"/>
        <w:rPr>
          <w:sz w:val="20"/>
          <w:szCs w:val="20"/>
        </w:rPr>
      </w:pPr>
      <w:r>
        <w:rPr>
          <w:b/>
          <w:bCs/>
          <w:sz w:val="20"/>
          <w:szCs w:val="20"/>
          <w:u w:val="single"/>
        </w:rPr>
        <w:t>3</w:t>
      </w:r>
      <w:r w:rsidR="001B3DDF">
        <w:rPr>
          <w:b/>
          <w:bCs/>
          <w:sz w:val="20"/>
          <w:szCs w:val="20"/>
          <w:u w:val="single"/>
        </w:rPr>
        <w:t>) Voies et délais de recours</w:t>
      </w:r>
    </w:p>
    <w:p w14:paraId="6312FC83" w14:textId="77777777" w:rsidR="00F34B97" w:rsidRDefault="00F34B97">
      <w:pPr>
        <w:pStyle w:val="RedTxt"/>
        <w:jc w:val="both"/>
        <w:rPr>
          <w:sz w:val="20"/>
          <w:szCs w:val="20"/>
        </w:rPr>
      </w:pPr>
    </w:p>
    <w:p w14:paraId="6A6E0E9F" w14:textId="77777777" w:rsidR="00D50475" w:rsidRDefault="00D50475" w:rsidP="00D50475">
      <w:pPr>
        <w:widowControl/>
        <w:rPr>
          <w:b/>
          <w:bCs/>
        </w:rPr>
      </w:pPr>
      <w:r>
        <w:rPr>
          <w:b/>
          <w:bCs/>
        </w:rPr>
        <w:t>Les voies de recours ouvertes préalablement à la signature du contrat :</w:t>
      </w:r>
    </w:p>
    <w:p w14:paraId="1B33CC38" w14:textId="77777777" w:rsidR="00D50475" w:rsidRDefault="00D50475" w:rsidP="00D50475">
      <w:pPr>
        <w:widowControl/>
        <w:rPr>
          <w:b/>
          <w:bCs/>
        </w:rPr>
      </w:pPr>
    </w:p>
    <w:p w14:paraId="2D2E4DBF" w14:textId="77777777" w:rsidR="00D50475" w:rsidRDefault="00D50475" w:rsidP="00D50475">
      <w:pPr>
        <w:widowControl/>
      </w:pPr>
      <w:r>
        <w:t>- Recours pour excès de pouvoir ouvert aux tiers contre un acte détachable du contrat et régi par les articles R. 421-1 à R. 421-7 du Code de justice administrative, pouvant être exercé généralement dans les 2 mois suivant la notification ou publication de la décision du pouvoir adjudicateur ;</w:t>
      </w:r>
    </w:p>
    <w:p w14:paraId="64696436" w14:textId="77777777" w:rsidR="00D50475" w:rsidRDefault="00D50475" w:rsidP="00D50475">
      <w:pPr>
        <w:widowControl/>
      </w:pPr>
      <w:r>
        <w:t>- Référé précontractuel régi par les articles L.551-1 à L.551-12 du Code de justice administrative.</w:t>
      </w:r>
    </w:p>
    <w:p w14:paraId="3A3664ED" w14:textId="77777777" w:rsidR="00D50475" w:rsidRDefault="00D50475" w:rsidP="00D50475">
      <w:pPr>
        <w:widowControl/>
      </w:pPr>
    </w:p>
    <w:p w14:paraId="53CAB4DC" w14:textId="77777777" w:rsidR="00D50475" w:rsidRDefault="00D50475" w:rsidP="00D50475">
      <w:pPr>
        <w:widowControl/>
        <w:rPr>
          <w:b/>
          <w:bCs/>
        </w:rPr>
      </w:pPr>
      <w:r>
        <w:rPr>
          <w:b/>
          <w:bCs/>
        </w:rPr>
        <w:t>Les voies de recours ouvertes postérieurement à la signature du contrat :</w:t>
      </w:r>
    </w:p>
    <w:p w14:paraId="228930D1" w14:textId="77777777" w:rsidR="00D50475" w:rsidRDefault="00D50475" w:rsidP="00D50475">
      <w:pPr>
        <w:widowControl/>
      </w:pPr>
      <w:r>
        <w:t>- Référé contractuel régi par les articles L.551-13 à L.551-23 du Code de justice administrative, et pouvant être exercé dans les délais prévus à l’article R. 551-7 du même code ;</w:t>
      </w:r>
    </w:p>
    <w:p w14:paraId="0422940D" w14:textId="77777777" w:rsidR="00D50475" w:rsidRDefault="00D50475" w:rsidP="00D50475">
      <w:pPr>
        <w:widowControl/>
      </w:pPr>
      <w:r>
        <w:t>- Recours de pleine juridiction (recours dit « Tropic Travaux 1 et 2 ») ouvert aux concurrents évincés, et aux tiers pouvant être exercé dans les deux mois suivant la date à laquelle la conclusion du contrat est rendue publique.</w:t>
      </w:r>
    </w:p>
    <w:p w14:paraId="3D966D32" w14:textId="77777777" w:rsidR="00D50475" w:rsidRDefault="00D50475">
      <w:pPr>
        <w:pStyle w:val="RedTxt"/>
        <w:jc w:val="both"/>
        <w:rPr>
          <w:sz w:val="20"/>
          <w:szCs w:val="20"/>
        </w:rPr>
      </w:pPr>
    </w:p>
    <w:p w14:paraId="4EE7F307" w14:textId="77777777" w:rsidR="005329AA" w:rsidRDefault="005329AA">
      <w:pPr>
        <w:pStyle w:val="RedTxt"/>
        <w:jc w:val="both"/>
        <w:rPr>
          <w:sz w:val="20"/>
          <w:szCs w:val="20"/>
        </w:rPr>
      </w:pPr>
    </w:p>
    <w:p w14:paraId="3363218B" w14:textId="77777777" w:rsidR="00546427" w:rsidRDefault="00546427" w:rsidP="00546427">
      <w:pPr>
        <w:widowControl/>
      </w:pPr>
      <w:r>
        <w:t>Tribunal Administratif de Versailles</w:t>
      </w:r>
    </w:p>
    <w:p w14:paraId="7D0AAEB4" w14:textId="77777777" w:rsidR="00546427" w:rsidRDefault="00546427" w:rsidP="00546427">
      <w:pPr>
        <w:widowControl/>
      </w:pPr>
      <w:r>
        <w:t>56 avenue de St Cloud</w:t>
      </w:r>
    </w:p>
    <w:p w14:paraId="1DDD2E19" w14:textId="77777777" w:rsidR="00546427" w:rsidRDefault="00546427" w:rsidP="00546427">
      <w:pPr>
        <w:widowControl/>
      </w:pPr>
      <w:r>
        <w:t>78011 VERSAILLES Cedex</w:t>
      </w:r>
    </w:p>
    <w:p w14:paraId="493E2E8D" w14:textId="77777777" w:rsidR="00546427" w:rsidRDefault="00546427" w:rsidP="00546427">
      <w:pPr>
        <w:widowControl/>
      </w:pPr>
      <w:r>
        <w:t>www.greffe.ta-versailles.juriadm.fr</w:t>
      </w:r>
    </w:p>
    <w:p w14:paraId="718CBD46" w14:textId="77777777" w:rsidR="00546427" w:rsidRDefault="00546427" w:rsidP="00546427">
      <w:pPr>
        <w:widowControl/>
      </w:pPr>
      <w:proofErr w:type="gramStart"/>
      <w:r>
        <w:t>tél</w:t>
      </w:r>
      <w:proofErr w:type="gramEnd"/>
      <w:r>
        <w:t xml:space="preserve"> : 01-39-20-54-00</w:t>
      </w:r>
    </w:p>
    <w:p w14:paraId="3F460F68" w14:textId="77777777" w:rsidR="00415D20" w:rsidRDefault="00546427" w:rsidP="00546427">
      <w:pPr>
        <w:widowControl/>
      </w:pPr>
      <w:proofErr w:type="gramStart"/>
      <w:r>
        <w:t>fax</w:t>
      </w:r>
      <w:proofErr w:type="gramEnd"/>
      <w:r>
        <w:t xml:space="preserve"> : 01-30-21-11-19</w:t>
      </w:r>
    </w:p>
    <w:sectPr w:rsidR="00415D20" w:rsidSect="00195E20">
      <w:footerReference w:type="default" r:id="rId10"/>
      <w:pgSz w:w="11906" w:h="16838"/>
      <w:pgMar w:top="1417" w:right="1417" w:bottom="1417" w:left="1417" w:header="709" w:footer="54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4835B" w14:textId="77777777" w:rsidR="00F34EA9" w:rsidRDefault="00F34EA9">
      <w:r>
        <w:separator/>
      </w:r>
    </w:p>
  </w:endnote>
  <w:endnote w:type="continuationSeparator" w:id="0">
    <w:p w14:paraId="09B6B0B1" w14:textId="77777777" w:rsidR="00F34EA9" w:rsidRDefault="00F3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AC33" w14:textId="77777777" w:rsidR="00415D20" w:rsidRDefault="001B3DDF">
    <w:pPr>
      <w:pStyle w:val="Pieddepage"/>
      <w:widowControl/>
      <w:jc w:val="both"/>
      <w:rPr>
        <w:sz w:val="16"/>
        <w:szCs w:val="16"/>
      </w:rPr>
    </w:pPr>
    <w:r>
      <w:rPr>
        <w:sz w:val="16"/>
        <w:szCs w:val="16"/>
      </w:rPr>
      <w:t xml:space="preserve">  ____________________________________________________________________________________________________</w:t>
    </w:r>
  </w:p>
  <w:tbl>
    <w:tblPr>
      <w:tblW w:w="0" w:type="auto"/>
      <w:tblLayout w:type="fixed"/>
      <w:tblCellMar>
        <w:left w:w="71" w:type="dxa"/>
        <w:right w:w="71" w:type="dxa"/>
      </w:tblCellMar>
      <w:tblLook w:val="0000" w:firstRow="0" w:lastRow="0" w:firstColumn="0" w:lastColumn="0" w:noHBand="0" w:noVBand="0"/>
    </w:tblPr>
    <w:tblGrid>
      <w:gridCol w:w="7938"/>
      <w:gridCol w:w="1304"/>
    </w:tblGrid>
    <w:tr w:rsidR="00415D20" w14:paraId="0D5C0087" w14:textId="77777777">
      <w:tc>
        <w:tcPr>
          <w:tcW w:w="7938" w:type="dxa"/>
          <w:tcBorders>
            <w:top w:val="nil"/>
            <w:left w:val="nil"/>
            <w:bottom w:val="nil"/>
            <w:right w:val="nil"/>
          </w:tcBorders>
        </w:tcPr>
        <w:p w14:paraId="272FC489" w14:textId="77777777" w:rsidR="003B05BB" w:rsidRPr="00A75A2D" w:rsidRDefault="003B05BB" w:rsidP="003B05BB">
          <w:pPr>
            <w:pStyle w:val="RedTitre1"/>
            <w:keepNext/>
            <w:framePr w:hSpace="0" w:wrap="auto" w:vAnchor="margin" w:xAlign="left" w:yAlign="inline"/>
            <w:widowControl/>
            <w:shd w:val="pct5" w:color="auto" w:fill="auto"/>
            <w:rPr>
              <w:sz w:val="16"/>
              <w:szCs w:val="16"/>
            </w:rPr>
          </w:pPr>
          <w:r>
            <w:rPr>
              <w:sz w:val="16"/>
              <w:szCs w:val="16"/>
            </w:rPr>
            <w:t>Eglise Notre Dame de la Bonne Nouvelle – Ravalement des fonds internes</w:t>
          </w:r>
        </w:p>
        <w:p w14:paraId="129BAF6C" w14:textId="77777777" w:rsidR="00731EDC" w:rsidRPr="00A75A2D" w:rsidRDefault="00731EDC" w:rsidP="00731EDC">
          <w:pPr>
            <w:pStyle w:val="Pieddepage"/>
            <w:jc w:val="both"/>
            <w:rPr>
              <w:b/>
              <w:bCs/>
              <w:color w:val="000000" w:themeColor="text1"/>
              <w:sz w:val="14"/>
              <w:szCs w:val="14"/>
            </w:rPr>
          </w:pPr>
        </w:p>
        <w:p w14:paraId="79A572EF" w14:textId="77777777" w:rsidR="00731EDC" w:rsidRPr="009E4867" w:rsidRDefault="00F82EEF" w:rsidP="00731EDC">
          <w:pPr>
            <w:pStyle w:val="Pieddepage"/>
            <w:jc w:val="both"/>
            <w:rPr>
              <w:b/>
              <w:bCs/>
              <w:color w:val="000000" w:themeColor="text1"/>
              <w:sz w:val="16"/>
              <w:szCs w:val="16"/>
            </w:rPr>
          </w:pPr>
          <w:r>
            <w:rPr>
              <w:bCs/>
              <w:color w:val="000000" w:themeColor="text1"/>
              <w:sz w:val="16"/>
              <w:szCs w:val="16"/>
            </w:rPr>
            <w:t>RAIZEUX</w:t>
          </w:r>
          <w:r w:rsidR="00731EDC">
            <w:rPr>
              <w:bCs/>
              <w:color w:val="000000" w:themeColor="text1"/>
              <w:sz w:val="16"/>
              <w:szCs w:val="16"/>
            </w:rPr>
            <w:t xml:space="preserve"> (78125</w:t>
          </w:r>
          <w:r w:rsidR="00731EDC" w:rsidRPr="009E4867">
            <w:rPr>
              <w:b/>
              <w:bCs/>
              <w:color w:val="000000" w:themeColor="text1"/>
              <w:sz w:val="16"/>
              <w:szCs w:val="16"/>
            </w:rPr>
            <w:t>)</w:t>
          </w:r>
        </w:p>
        <w:p w14:paraId="5B373D93" w14:textId="77777777" w:rsidR="00415D20" w:rsidRDefault="00415D20">
          <w:pPr>
            <w:pStyle w:val="Pieddepage"/>
            <w:widowControl/>
            <w:tabs>
              <w:tab w:val="clear" w:pos="4819"/>
              <w:tab w:val="clear" w:pos="9071"/>
            </w:tabs>
            <w:jc w:val="both"/>
            <w:rPr>
              <w:sz w:val="16"/>
              <w:szCs w:val="16"/>
            </w:rPr>
          </w:pPr>
        </w:p>
      </w:tc>
      <w:tc>
        <w:tcPr>
          <w:tcW w:w="1304" w:type="dxa"/>
          <w:tcBorders>
            <w:top w:val="nil"/>
            <w:left w:val="nil"/>
            <w:bottom w:val="nil"/>
            <w:right w:val="nil"/>
          </w:tcBorders>
        </w:tcPr>
        <w:p w14:paraId="714208E4" w14:textId="77777777" w:rsidR="00415D20" w:rsidRDefault="001B3DDF">
          <w:pPr>
            <w:pStyle w:val="Pieddepage"/>
            <w:widowControl/>
            <w:tabs>
              <w:tab w:val="clear" w:pos="4819"/>
              <w:tab w:val="clear" w:pos="9071"/>
            </w:tabs>
            <w:jc w:val="right"/>
            <w:rPr>
              <w:rStyle w:val="Numrodepage"/>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D267C9">
            <w:rPr>
              <w:noProof/>
              <w:sz w:val="16"/>
              <w:szCs w:val="16"/>
            </w:rPr>
            <w:t>8</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D267C9">
            <w:rPr>
              <w:noProof/>
              <w:sz w:val="16"/>
              <w:szCs w:val="16"/>
            </w:rPr>
            <w:t>8</w:t>
          </w:r>
          <w:r>
            <w:rPr>
              <w:sz w:val="16"/>
              <w:szCs w:val="16"/>
            </w:rPr>
            <w:fldChar w:fldCharType="end"/>
          </w:r>
        </w:p>
      </w:tc>
    </w:tr>
  </w:tbl>
  <w:p w14:paraId="1D8CEB86" w14:textId="77777777" w:rsidR="00415D20" w:rsidRDefault="001B3DDF">
    <w:pPr>
      <w:pStyle w:val="Pieddepage"/>
      <w:widowControl/>
      <w:jc w:val="center"/>
      <w:rPr>
        <w:rStyle w:val="Numrodepage"/>
        <w:sz w:val="16"/>
        <w:szCs w:val="16"/>
      </w:rPr>
    </w:pPr>
    <w:r>
      <w:rPr>
        <w:rStyle w:val="Numrodepage"/>
        <w:sz w:val="16"/>
        <w:szCs w:val="16"/>
      </w:rPr>
      <w:t>REGLEMENT DE LA CONSULTATION</w:t>
    </w:r>
  </w:p>
  <w:p w14:paraId="42343B29" w14:textId="77777777" w:rsidR="00415D20" w:rsidRDefault="00415D20">
    <w:pPr>
      <w:pStyle w:val="Pieddepage"/>
      <w:widowControl/>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9CEB0" w14:textId="77777777" w:rsidR="00F34EA9" w:rsidRDefault="00F34EA9">
      <w:r>
        <w:separator/>
      </w:r>
    </w:p>
  </w:footnote>
  <w:footnote w:type="continuationSeparator" w:id="0">
    <w:p w14:paraId="401DD7CC" w14:textId="77777777" w:rsidR="00F34EA9" w:rsidRDefault="00F3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813"/>
    <w:multiLevelType w:val="hybridMultilevel"/>
    <w:tmpl w:val="92BA4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623D0"/>
    <w:multiLevelType w:val="hybridMultilevel"/>
    <w:tmpl w:val="92BA4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300D68"/>
    <w:multiLevelType w:val="hybridMultilevel"/>
    <w:tmpl w:val="288AC3FE"/>
    <w:lvl w:ilvl="0" w:tplc="FBB87BC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511A4C"/>
    <w:multiLevelType w:val="hybridMultilevel"/>
    <w:tmpl w:val="3EE09100"/>
    <w:lvl w:ilvl="0" w:tplc="895AB6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E75A94"/>
    <w:multiLevelType w:val="hybridMultilevel"/>
    <w:tmpl w:val="92BA4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64209D3"/>
    <w:multiLevelType w:val="hybridMultilevel"/>
    <w:tmpl w:val="92BA4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A5766D"/>
    <w:multiLevelType w:val="hybridMultilevel"/>
    <w:tmpl w:val="84B6A706"/>
    <w:lvl w:ilvl="0" w:tplc="A6BAB8A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BD201A0"/>
    <w:multiLevelType w:val="hybridMultilevel"/>
    <w:tmpl w:val="CCD6B1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157AA3"/>
    <w:multiLevelType w:val="hybridMultilevel"/>
    <w:tmpl w:val="3E50EF1C"/>
    <w:lvl w:ilvl="0" w:tplc="65828E14">
      <w:start w:val="2"/>
      <w:numFmt w:val="bullet"/>
      <w:lvlText w:val="-"/>
      <w:lvlJc w:val="left"/>
      <w:pPr>
        <w:ind w:left="1065" w:hanging="360"/>
      </w:pPr>
      <w:rPr>
        <w:rFonts w:ascii="Arial" w:eastAsiaTheme="minorEastAsia"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65FE05A3"/>
    <w:multiLevelType w:val="singleLevel"/>
    <w:tmpl w:val="D6BA5D88"/>
    <w:lvl w:ilvl="0">
      <w:start w:val="8"/>
      <w:numFmt w:val="bullet"/>
      <w:lvlText w:val="-"/>
      <w:lvlJc w:val="left"/>
      <w:pPr>
        <w:tabs>
          <w:tab w:val="num" w:pos="1497"/>
        </w:tabs>
        <w:ind w:left="1497" w:hanging="360"/>
      </w:pPr>
      <w:rPr>
        <w:rFonts w:hint="default"/>
      </w:rPr>
    </w:lvl>
  </w:abstractNum>
  <w:abstractNum w:abstractNumId="10" w15:restartNumberingAfterBreak="0">
    <w:nsid w:val="6E9C24CC"/>
    <w:multiLevelType w:val="hybridMultilevel"/>
    <w:tmpl w:val="92BA4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25C734F"/>
    <w:multiLevelType w:val="hybridMultilevel"/>
    <w:tmpl w:val="B1F21F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30282E"/>
    <w:multiLevelType w:val="hybridMultilevel"/>
    <w:tmpl w:val="92BA4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884B61"/>
    <w:multiLevelType w:val="hybridMultilevel"/>
    <w:tmpl w:val="E9E81324"/>
    <w:lvl w:ilvl="0" w:tplc="F88A5EEC">
      <w:start w:val="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11"/>
  </w:num>
  <w:num w:numId="6">
    <w:abstractNumId w:val="1"/>
  </w:num>
  <w:num w:numId="7">
    <w:abstractNumId w:val="0"/>
  </w:num>
  <w:num w:numId="8">
    <w:abstractNumId w:val="12"/>
  </w:num>
  <w:num w:numId="9">
    <w:abstractNumId w:val="10"/>
  </w:num>
  <w:num w:numId="10">
    <w:abstractNumId w:val="7"/>
  </w:num>
  <w:num w:numId="11">
    <w:abstractNumId w:val="6"/>
  </w:num>
  <w:num w:numId="12">
    <w:abstractNumId w:val="5"/>
  </w:num>
  <w:num w:numId="13">
    <w:abstractNumId w:val="6"/>
  </w:num>
  <w:num w:numId="14">
    <w:abstractNumId w:val="1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DF"/>
    <w:rsid w:val="00035D44"/>
    <w:rsid w:val="00081198"/>
    <w:rsid w:val="00081363"/>
    <w:rsid w:val="000845EC"/>
    <w:rsid w:val="000A0993"/>
    <w:rsid w:val="000E5507"/>
    <w:rsid w:val="00105316"/>
    <w:rsid w:val="001310F3"/>
    <w:rsid w:val="0014110A"/>
    <w:rsid w:val="001562D1"/>
    <w:rsid w:val="00195E20"/>
    <w:rsid w:val="001B3DDF"/>
    <w:rsid w:val="001D6070"/>
    <w:rsid w:val="002105AC"/>
    <w:rsid w:val="0024301C"/>
    <w:rsid w:val="00243DE6"/>
    <w:rsid w:val="00273B93"/>
    <w:rsid w:val="00281545"/>
    <w:rsid w:val="002A1574"/>
    <w:rsid w:val="002A7D0E"/>
    <w:rsid w:val="002D4DD6"/>
    <w:rsid w:val="002D5D5B"/>
    <w:rsid w:val="00354E5D"/>
    <w:rsid w:val="003B05BB"/>
    <w:rsid w:val="003B0710"/>
    <w:rsid w:val="003B2238"/>
    <w:rsid w:val="003C164C"/>
    <w:rsid w:val="003C42B0"/>
    <w:rsid w:val="004041BD"/>
    <w:rsid w:val="00415D20"/>
    <w:rsid w:val="00422F47"/>
    <w:rsid w:val="0042462D"/>
    <w:rsid w:val="004612EC"/>
    <w:rsid w:val="00461D47"/>
    <w:rsid w:val="004A3825"/>
    <w:rsid w:val="004D1C7F"/>
    <w:rsid w:val="004D4DFD"/>
    <w:rsid w:val="005017DB"/>
    <w:rsid w:val="005213D4"/>
    <w:rsid w:val="00530650"/>
    <w:rsid w:val="005324A1"/>
    <w:rsid w:val="00532779"/>
    <w:rsid w:val="005329AA"/>
    <w:rsid w:val="00546427"/>
    <w:rsid w:val="00564234"/>
    <w:rsid w:val="00574D99"/>
    <w:rsid w:val="005904AB"/>
    <w:rsid w:val="005930EB"/>
    <w:rsid w:val="005A2EA9"/>
    <w:rsid w:val="005A3A40"/>
    <w:rsid w:val="005C2178"/>
    <w:rsid w:val="00610DFC"/>
    <w:rsid w:val="00640C80"/>
    <w:rsid w:val="00643A74"/>
    <w:rsid w:val="00682916"/>
    <w:rsid w:val="0068600F"/>
    <w:rsid w:val="006E0160"/>
    <w:rsid w:val="00715B02"/>
    <w:rsid w:val="00731EDC"/>
    <w:rsid w:val="007351D1"/>
    <w:rsid w:val="00790142"/>
    <w:rsid w:val="007A5109"/>
    <w:rsid w:val="007B1951"/>
    <w:rsid w:val="007C7F1A"/>
    <w:rsid w:val="007D62C9"/>
    <w:rsid w:val="007E6CB3"/>
    <w:rsid w:val="00824A80"/>
    <w:rsid w:val="0083209E"/>
    <w:rsid w:val="00833A7F"/>
    <w:rsid w:val="00863845"/>
    <w:rsid w:val="00865723"/>
    <w:rsid w:val="00873C1A"/>
    <w:rsid w:val="00881347"/>
    <w:rsid w:val="0089198A"/>
    <w:rsid w:val="0096030B"/>
    <w:rsid w:val="0097288E"/>
    <w:rsid w:val="009A2B74"/>
    <w:rsid w:val="009E7AEA"/>
    <w:rsid w:val="00A020CD"/>
    <w:rsid w:val="00A26BEB"/>
    <w:rsid w:val="00A92E25"/>
    <w:rsid w:val="00AC3C83"/>
    <w:rsid w:val="00AC729C"/>
    <w:rsid w:val="00B0507B"/>
    <w:rsid w:val="00B1691E"/>
    <w:rsid w:val="00B169E5"/>
    <w:rsid w:val="00B276C0"/>
    <w:rsid w:val="00B563EF"/>
    <w:rsid w:val="00BA6DE8"/>
    <w:rsid w:val="00BE7D5F"/>
    <w:rsid w:val="00C61DB3"/>
    <w:rsid w:val="00C75343"/>
    <w:rsid w:val="00CA60A5"/>
    <w:rsid w:val="00CB3CE9"/>
    <w:rsid w:val="00CE2B8C"/>
    <w:rsid w:val="00CF5ED3"/>
    <w:rsid w:val="00D21D9E"/>
    <w:rsid w:val="00D267C9"/>
    <w:rsid w:val="00D50475"/>
    <w:rsid w:val="00DF345C"/>
    <w:rsid w:val="00E06D74"/>
    <w:rsid w:val="00E37D2E"/>
    <w:rsid w:val="00E41C04"/>
    <w:rsid w:val="00E47AC1"/>
    <w:rsid w:val="00E52EA8"/>
    <w:rsid w:val="00E65BFC"/>
    <w:rsid w:val="00E71D90"/>
    <w:rsid w:val="00E7222C"/>
    <w:rsid w:val="00E85A89"/>
    <w:rsid w:val="00EA50BB"/>
    <w:rsid w:val="00EB32AB"/>
    <w:rsid w:val="00EB6A9C"/>
    <w:rsid w:val="00EC1808"/>
    <w:rsid w:val="00EF1831"/>
    <w:rsid w:val="00EF67D4"/>
    <w:rsid w:val="00F34B97"/>
    <w:rsid w:val="00F34EA9"/>
    <w:rsid w:val="00F82EEF"/>
    <w:rsid w:val="00FA0024"/>
    <w:rsid w:val="00FA286A"/>
    <w:rsid w:val="00FC1508"/>
    <w:rsid w:val="00FC3937"/>
    <w:rsid w:val="00FC7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B69FDE0"/>
  <w14:defaultImageDpi w14:val="0"/>
  <w15:docId w15:val="{A42D5C37-5526-4590-93E2-0E99B10E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dTitre">
    <w:name w:val="RedTitre"/>
    <w:basedOn w:val="Normal"/>
    <w:uiPriority w:val="99"/>
    <w:pPr>
      <w:framePr w:hSpace="142" w:wrap="auto" w:vAnchor="text" w:hAnchor="text" w:xAlign="center" w:y="1"/>
      <w:jc w:val="center"/>
    </w:pPr>
    <w:rPr>
      <w:b/>
      <w:bCs/>
      <w:sz w:val="22"/>
      <w:szCs w:val="22"/>
    </w:rPr>
  </w:style>
  <w:style w:type="paragraph" w:customStyle="1" w:styleId="RedNomDoc">
    <w:name w:val="RedNomDoc"/>
    <w:basedOn w:val="Normal"/>
    <w:uiPriority w:val="99"/>
    <w:pPr>
      <w:jc w:val="center"/>
    </w:pPr>
    <w:rPr>
      <w:b/>
      <w:bCs/>
      <w:sz w:val="30"/>
      <w:szCs w:val="30"/>
    </w:rPr>
  </w:style>
  <w:style w:type="paragraph" w:customStyle="1" w:styleId="RedTitre1">
    <w:name w:val="RedTitre1"/>
    <w:basedOn w:val="Normal"/>
    <w:uiPriority w:val="99"/>
    <w:pPr>
      <w:framePr w:hSpace="142" w:wrap="auto" w:vAnchor="text" w:hAnchor="text" w:xAlign="center" w:y="1"/>
      <w:jc w:val="center"/>
    </w:pPr>
    <w:rPr>
      <w:b/>
      <w:bCs/>
      <w:sz w:val="22"/>
      <w:szCs w:val="22"/>
    </w:rPr>
  </w:style>
  <w:style w:type="paragraph" w:customStyle="1" w:styleId="RedTitre2">
    <w:name w:val="RedTitre2"/>
    <w:basedOn w:val="Normal"/>
    <w:uiPriority w:val="99"/>
    <w:pPr>
      <w:keepNext/>
      <w:pBdr>
        <w:top w:val="single" w:sz="6" w:space="1" w:color="auto"/>
        <w:left w:val="single" w:sz="6" w:space="1" w:color="auto"/>
        <w:bottom w:val="single" w:sz="6" w:space="1" w:color="auto"/>
        <w:right w:val="single" w:sz="6" w:space="1" w:color="auto"/>
      </w:pBdr>
      <w:spacing w:before="240" w:after="60"/>
    </w:pPr>
    <w:rPr>
      <w:b/>
      <w:bCs/>
      <w:sz w:val="24"/>
      <w:szCs w:val="24"/>
    </w:rPr>
  </w:style>
  <w:style w:type="paragraph" w:customStyle="1" w:styleId="RedLiRub">
    <w:name w:val="RedLiRub"/>
    <w:basedOn w:val="Normal"/>
    <w:uiPriority w:val="99"/>
    <w:rPr>
      <w:sz w:val="22"/>
      <w:szCs w:val="22"/>
    </w:rPr>
  </w:style>
  <w:style w:type="paragraph" w:customStyle="1" w:styleId="RedPara">
    <w:name w:val="RedPara"/>
    <w:basedOn w:val="Normal"/>
    <w:uiPriority w:val="99"/>
    <w:pPr>
      <w:keepNext/>
      <w:spacing w:before="120" w:after="60"/>
    </w:pPr>
    <w:rPr>
      <w:b/>
      <w:bCs/>
      <w:sz w:val="22"/>
      <w:szCs w:val="22"/>
    </w:rPr>
  </w:style>
  <w:style w:type="paragraph" w:customStyle="1" w:styleId="RedRub">
    <w:name w:val="RedRub"/>
    <w:basedOn w:val="Normal"/>
    <w:uiPriority w:val="99"/>
    <w:pPr>
      <w:keepNext/>
      <w:spacing w:before="60" w:after="60"/>
    </w:pPr>
    <w:rPr>
      <w:b/>
      <w:bCs/>
      <w:sz w:val="22"/>
      <w:szCs w:val="22"/>
    </w:rPr>
  </w:style>
  <w:style w:type="paragraph" w:customStyle="1" w:styleId="RedTxt">
    <w:name w:val="RedTxt"/>
    <w:basedOn w:val="Normal"/>
    <w:uiPriority w:val="99"/>
    <w:pPr>
      <w:keepLines/>
    </w:pPr>
    <w:rPr>
      <w:sz w:val="18"/>
      <w:szCs w:val="18"/>
    </w:rPr>
  </w:style>
  <w:style w:type="paragraph" w:styleId="Pieddepage">
    <w:name w:val="footer"/>
    <w:basedOn w:val="Normal"/>
    <w:link w:val="PieddepageCar"/>
    <w:uiPriority w:val="99"/>
    <w:pPr>
      <w:tabs>
        <w:tab w:val="center" w:pos="4819"/>
        <w:tab w:val="right" w:pos="9071"/>
      </w:tabs>
    </w:pPr>
    <w:rPr>
      <w:sz w:val="24"/>
      <w:szCs w:val="24"/>
    </w:rPr>
  </w:style>
  <w:style w:type="character" w:customStyle="1" w:styleId="PieddepageCar">
    <w:name w:val="Pied de page Car"/>
    <w:basedOn w:val="Policepardfaut"/>
    <w:link w:val="Pieddepage"/>
    <w:uiPriority w:val="99"/>
    <w:semiHidden/>
    <w:rPr>
      <w:rFonts w:ascii="Arial" w:hAnsi="Arial" w:cs="Arial"/>
      <w:sz w:val="20"/>
      <w:szCs w:val="20"/>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rFonts w:ascii="Arial" w:hAnsi="Arial" w:cs="Arial"/>
      <w:sz w:val="20"/>
      <w:szCs w:val="20"/>
    </w:rPr>
  </w:style>
  <w:style w:type="character" w:styleId="Numrodepage">
    <w:name w:val="page number"/>
    <w:basedOn w:val="Policepardfaut"/>
    <w:uiPriority w:val="99"/>
  </w:style>
  <w:style w:type="table" w:styleId="Grilledutableau">
    <w:name w:val="Table Grid"/>
    <w:basedOn w:val="TableauNormal"/>
    <w:uiPriority w:val="59"/>
    <w:rsid w:val="00E06D7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69E5"/>
    <w:pPr>
      <w:ind w:left="720"/>
      <w:contextualSpacing/>
    </w:pPr>
  </w:style>
  <w:style w:type="paragraph" w:styleId="Explorateurdedocuments">
    <w:name w:val="Document Map"/>
    <w:basedOn w:val="Normal"/>
    <w:link w:val="ExplorateurdedocumentsCar"/>
    <w:semiHidden/>
    <w:rsid w:val="00FA0024"/>
    <w:pPr>
      <w:widowControl/>
      <w:shd w:val="clear" w:color="auto" w:fill="000080"/>
      <w:autoSpaceDE/>
      <w:autoSpaceDN/>
      <w:adjustRightInd/>
    </w:pPr>
    <w:rPr>
      <w:rFonts w:ascii="Tahoma" w:eastAsia="Times New Roman" w:hAnsi="Tahoma" w:cs="Tahoma"/>
    </w:rPr>
  </w:style>
  <w:style w:type="character" w:customStyle="1" w:styleId="ExplorateurdedocumentsCar">
    <w:name w:val="Explorateur de documents Car"/>
    <w:basedOn w:val="Policepardfaut"/>
    <w:link w:val="Explorateurdedocuments"/>
    <w:semiHidden/>
    <w:rsid w:val="00FA0024"/>
    <w:rPr>
      <w:rFonts w:ascii="Tahoma" w:eastAsia="Times New Roman" w:hAnsi="Tahoma" w:cs="Tahoma"/>
      <w:sz w:val="20"/>
      <w:szCs w:val="20"/>
      <w:shd w:val="clear" w:color="auto" w:fill="000080"/>
    </w:rPr>
  </w:style>
  <w:style w:type="paragraph" w:styleId="Textedebulles">
    <w:name w:val="Balloon Text"/>
    <w:basedOn w:val="Normal"/>
    <w:link w:val="TextedebullesCar"/>
    <w:uiPriority w:val="99"/>
    <w:semiHidden/>
    <w:unhideWhenUsed/>
    <w:rsid w:val="005904AB"/>
    <w:rPr>
      <w:rFonts w:ascii="Tahoma" w:hAnsi="Tahoma" w:cs="Tahoma"/>
      <w:sz w:val="16"/>
      <w:szCs w:val="16"/>
    </w:rPr>
  </w:style>
  <w:style w:type="character" w:customStyle="1" w:styleId="TextedebullesCar">
    <w:name w:val="Texte de bulles Car"/>
    <w:basedOn w:val="Policepardfaut"/>
    <w:link w:val="Textedebulles"/>
    <w:uiPriority w:val="99"/>
    <w:semiHidden/>
    <w:rsid w:val="005904AB"/>
    <w:rPr>
      <w:rFonts w:ascii="Tahoma" w:hAnsi="Tahoma" w:cs="Tahoma"/>
      <w:sz w:val="16"/>
      <w:szCs w:val="16"/>
    </w:rPr>
  </w:style>
  <w:style w:type="character" w:styleId="Marquedecommentaire">
    <w:name w:val="annotation reference"/>
    <w:basedOn w:val="Policepardfaut"/>
    <w:uiPriority w:val="99"/>
    <w:semiHidden/>
    <w:unhideWhenUsed/>
    <w:rsid w:val="005904AB"/>
    <w:rPr>
      <w:sz w:val="16"/>
      <w:szCs w:val="16"/>
    </w:rPr>
  </w:style>
  <w:style w:type="paragraph" w:styleId="Commentaire">
    <w:name w:val="annotation text"/>
    <w:basedOn w:val="Normal"/>
    <w:link w:val="CommentaireCar"/>
    <w:uiPriority w:val="99"/>
    <w:semiHidden/>
    <w:unhideWhenUsed/>
    <w:rsid w:val="005904AB"/>
  </w:style>
  <w:style w:type="character" w:customStyle="1" w:styleId="CommentaireCar">
    <w:name w:val="Commentaire Car"/>
    <w:basedOn w:val="Policepardfaut"/>
    <w:link w:val="Commentaire"/>
    <w:uiPriority w:val="99"/>
    <w:semiHidden/>
    <w:rsid w:val="005904AB"/>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5904AB"/>
    <w:rPr>
      <w:b/>
      <w:bCs/>
    </w:rPr>
  </w:style>
  <w:style w:type="character" w:customStyle="1" w:styleId="ObjetducommentaireCar">
    <w:name w:val="Objet du commentaire Car"/>
    <w:basedOn w:val="CommentaireCar"/>
    <w:link w:val="Objetducommentaire"/>
    <w:uiPriority w:val="99"/>
    <w:semiHidden/>
    <w:rsid w:val="005904AB"/>
    <w:rPr>
      <w:rFonts w:ascii="Arial" w:hAnsi="Arial" w:cs="Arial"/>
      <w:b/>
      <w:bCs/>
      <w:sz w:val="20"/>
      <w:szCs w:val="20"/>
    </w:rPr>
  </w:style>
  <w:style w:type="character" w:styleId="Lienhypertexte">
    <w:name w:val="Hyperlink"/>
    <w:basedOn w:val="Policepardfaut"/>
    <w:uiPriority w:val="99"/>
    <w:unhideWhenUsed/>
    <w:rsid w:val="003C42B0"/>
    <w:rPr>
      <w:color w:val="0000FF" w:themeColor="hyperlink"/>
      <w:u w:val="single"/>
    </w:rPr>
  </w:style>
  <w:style w:type="character" w:customStyle="1" w:styleId="st1">
    <w:name w:val="st1"/>
    <w:basedOn w:val="Policepardfaut"/>
    <w:rsid w:val="000A0993"/>
  </w:style>
  <w:style w:type="paragraph" w:customStyle="1" w:styleId="Texte1">
    <w:name w:val="Texte1"/>
    <w:basedOn w:val="Normal"/>
    <w:uiPriority w:val="99"/>
    <w:rsid w:val="002D5D5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autoSpaceDE/>
      <w:autoSpaceDN/>
      <w:adjustRightInd/>
      <w:spacing w:before="57"/>
      <w:jc w:val="both"/>
    </w:pPr>
    <w:rPr>
      <w:color w:val="000000"/>
      <w:shd w:val="clear" w:color="auto" w:fill="FFFFFF"/>
      <w:lang w:val="en-US" w:eastAsia="zh-CN"/>
    </w:rPr>
  </w:style>
  <w:style w:type="paragraph" w:styleId="NormalWeb">
    <w:name w:val="Normal (Web)"/>
    <w:basedOn w:val="Normal"/>
    <w:uiPriority w:val="99"/>
    <w:rsid w:val="002D5D5B"/>
    <w:pPr>
      <w:widowControl/>
      <w:suppressAutoHyphens/>
      <w:autoSpaceDE/>
      <w:autoSpaceDN/>
      <w:adjustRightInd/>
      <w:spacing w:before="280" w:after="119"/>
    </w:pPr>
    <w:rPr>
      <w:rFonts w:ascii="Arial Unicode MS" w:eastAsia="Arial Unicode MS" w:hAnsi="Arial Unicode MS" w:cs="Arial Unicode MS"/>
      <w:sz w:val="24"/>
      <w:szCs w:val="24"/>
      <w:lang w:eastAsia="zh-CN"/>
    </w:rPr>
  </w:style>
  <w:style w:type="paragraph" w:styleId="Corpsdetexte">
    <w:name w:val="Body Text"/>
    <w:basedOn w:val="Normal"/>
    <w:link w:val="CorpsdetexteCar"/>
    <w:uiPriority w:val="99"/>
    <w:semiHidden/>
    <w:unhideWhenUsed/>
    <w:rsid w:val="003B05BB"/>
    <w:pPr>
      <w:spacing w:after="120"/>
    </w:pPr>
  </w:style>
  <w:style w:type="character" w:customStyle="1" w:styleId="CorpsdetexteCar">
    <w:name w:val="Corps de texte Car"/>
    <w:basedOn w:val="Policepardfaut"/>
    <w:link w:val="Corpsdetexte"/>
    <w:uiPriority w:val="99"/>
    <w:semiHidden/>
    <w:rsid w:val="003B05B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694796">
      <w:bodyDiv w:val="1"/>
      <w:marLeft w:val="0"/>
      <w:marRight w:val="0"/>
      <w:marTop w:val="0"/>
      <w:marBottom w:val="0"/>
      <w:divBdr>
        <w:top w:val="none" w:sz="0" w:space="0" w:color="auto"/>
        <w:left w:val="none" w:sz="0" w:space="0" w:color="auto"/>
        <w:bottom w:val="none" w:sz="0" w:space="0" w:color="auto"/>
        <w:right w:val="none" w:sz="0" w:space="0" w:color="auto"/>
      </w:divBdr>
      <w:divsChild>
        <w:div w:id="1816141981">
          <w:marLeft w:val="0"/>
          <w:marRight w:val="0"/>
          <w:marTop w:val="0"/>
          <w:marBottom w:val="0"/>
          <w:divBdr>
            <w:top w:val="none" w:sz="0" w:space="0" w:color="auto"/>
            <w:left w:val="none" w:sz="0" w:space="0" w:color="auto"/>
            <w:bottom w:val="none" w:sz="0" w:space="0" w:color="auto"/>
            <w:right w:val="none" w:sz="0" w:space="0" w:color="auto"/>
          </w:divBdr>
        </w:div>
        <w:div w:id="820536591">
          <w:marLeft w:val="0"/>
          <w:marRight w:val="0"/>
          <w:marTop w:val="0"/>
          <w:marBottom w:val="0"/>
          <w:divBdr>
            <w:top w:val="none" w:sz="0" w:space="0" w:color="auto"/>
            <w:left w:val="none" w:sz="0" w:space="0" w:color="auto"/>
            <w:bottom w:val="none" w:sz="0" w:space="0" w:color="auto"/>
            <w:right w:val="none" w:sz="0" w:space="0" w:color="auto"/>
          </w:divBdr>
        </w:div>
        <w:div w:id="233320710">
          <w:marLeft w:val="0"/>
          <w:marRight w:val="0"/>
          <w:marTop w:val="0"/>
          <w:marBottom w:val="0"/>
          <w:divBdr>
            <w:top w:val="none" w:sz="0" w:space="0" w:color="auto"/>
            <w:left w:val="none" w:sz="0" w:space="0" w:color="auto"/>
            <w:bottom w:val="none" w:sz="0" w:space="0" w:color="auto"/>
            <w:right w:val="none" w:sz="0" w:space="0" w:color="auto"/>
          </w:divBdr>
        </w:div>
      </w:divsChild>
    </w:div>
    <w:div w:id="1257863421">
      <w:bodyDiv w:val="1"/>
      <w:marLeft w:val="0"/>
      <w:marRight w:val="0"/>
      <w:marTop w:val="0"/>
      <w:marBottom w:val="0"/>
      <w:divBdr>
        <w:top w:val="none" w:sz="0" w:space="0" w:color="auto"/>
        <w:left w:val="none" w:sz="0" w:space="0" w:color="auto"/>
        <w:bottom w:val="none" w:sz="0" w:space="0" w:color="auto"/>
        <w:right w:val="none" w:sz="0" w:space="0" w:color="auto"/>
      </w:divBdr>
    </w:div>
    <w:div w:id="1268193518">
      <w:bodyDiv w:val="1"/>
      <w:marLeft w:val="0"/>
      <w:marRight w:val="0"/>
      <w:marTop w:val="0"/>
      <w:marBottom w:val="0"/>
      <w:divBdr>
        <w:top w:val="none" w:sz="0" w:space="0" w:color="auto"/>
        <w:left w:val="none" w:sz="0" w:space="0" w:color="auto"/>
        <w:bottom w:val="none" w:sz="0" w:space="0" w:color="auto"/>
        <w:right w:val="none" w:sz="0" w:space="0" w:color="auto"/>
      </w:divBdr>
    </w:div>
    <w:div w:id="200850869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6">
          <w:marLeft w:val="0"/>
          <w:marRight w:val="0"/>
          <w:marTop w:val="0"/>
          <w:marBottom w:val="0"/>
          <w:divBdr>
            <w:top w:val="none" w:sz="0" w:space="0" w:color="auto"/>
            <w:left w:val="none" w:sz="0" w:space="0" w:color="auto"/>
            <w:bottom w:val="none" w:sz="0" w:space="0" w:color="auto"/>
            <w:right w:val="none" w:sz="0" w:space="0" w:color="auto"/>
          </w:divBdr>
        </w:div>
        <w:div w:id="1395162361">
          <w:marLeft w:val="0"/>
          <w:marRight w:val="0"/>
          <w:marTop w:val="0"/>
          <w:marBottom w:val="0"/>
          <w:divBdr>
            <w:top w:val="none" w:sz="0" w:space="0" w:color="auto"/>
            <w:left w:val="none" w:sz="0" w:space="0" w:color="auto"/>
            <w:bottom w:val="none" w:sz="0" w:space="0" w:color="auto"/>
            <w:right w:val="none" w:sz="0" w:space="0" w:color="auto"/>
          </w:divBdr>
        </w:div>
        <w:div w:id="2028170681">
          <w:marLeft w:val="0"/>
          <w:marRight w:val="0"/>
          <w:marTop w:val="0"/>
          <w:marBottom w:val="0"/>
          <w:divBdr>
            <w:top w:val="none" w:sz="0" w:space="0" w:color="auto"/>
            <w:left w:val="none" w:sz="0" w:space="0" w:color="auto"/>
            <w:bottom w:val="none" w:sz="0" w:space="0" w:color="auto"/>
            <w:right w:val="none" w:sz="0" w:space="0" w:color="auto"/>
          </w:divBdr>
        </w:div>
      </w:divsChild>
    </w:div>
    <w:div w:id="20874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orcemont@wanadoo.fr" TargetMode="External"/><Relationship Id="rId3" Type="http://schemas.openxmlformats.org/officeDocument/2006/relationships/settings" Target="settings.xml"/><Relationship Id="rId7" Type="http://schemas.openxmlformats.org/officeDocument/2006/relationships/hyperlink" Target="https://www.achatpubl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rie-orcemont@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2219</Words>
  <Characters>12892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[LiNat]</vt:lpstr>
    </vt:vector>
  </TitlesOfParts>
  <Company>SIS</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[LiNat]</dc:title>
  <dc:creator>SB</dc:creator>
  <cp:lastModifiedBy>SEC1</cp:lastModifiedBy>
  <cp:revision>4</cp:revision>
  <cp:lastPrinted>2016-05-26T14:04:00Z</cp:lastPrinted>
  <dcterms:created xsi:type="dcterms:W3CDTF">2020-02-26T08:42:00Z</dcterms:created>
  <dcterms:modified xsi:type="dcterms:W3CDTF">2020-02-26T10:55:00Z</dcterms:modified>
</cp:coreProperties>
</file>